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42" w:rsidRDefault="00400642" w:rsidP="002476AA">
      <w:pPr>
        <w:spacing w:after="0"/>
        <w:ind w:right="222"/>
        <w:jc w:val="right"/>
        <w:rPr>
          <w:rFonts w:cs="Calibri"/>
          <w:color w:val="7030A0"/>
          <w:sz w:val="36"/>
          <w:szCs w:val="36"/>
        </w:rPr>
      </w:pPr>
      <w:r w:rsidRPr="006D3F94">
        <w:rPr>
          <w:rFonts w:cs="Calibri"/>
          <w:color w:val="7030A0"/>
          <w:sz w:val="36"/>
          <w:szCs w:val="36"/>
        </w:rPr>
        <w:t>Secuencias didácticas para desarrollar la</w:t>
      </w:r>
      <w:r w:rsidR="002476AA">
        <w:rPr>
          <w:rFonts w:cs="Calibri"/>
          <w:color w:val="7030A0"/>
          <w:sz w:val="36"/>
          <w:szCs w:val="36"/>
        </w:rPr>
        <w:t xml:space="preserve"> </w:t>
      </w:r>
      <w:r w:rsidRPr="006D3F94">
        <w:rPr>
          <w:rFonts w:cs="Calibri"/>
          <w:color w:val="7030A0"/>
          <w:sz w:val="36"/>
          <w:szCs w:val="36"/>
        </w:rPr>
        <w:t>competencia de comunicación escrita en estudiantes de ingeniería bioquímica</w:t>
      </w:r>
    </w:p>
    <w:p w:rsidR="002476AA" w:rsidRPr="00465457" w:rsidRDefault="002476AA" w:rsidP="002476AA">
      <w:pPr>
        <w:spacing w:after="0"/>
        <w:ind w:right="222"/>
        <w:jc w:val="right"/>
        <w:rPr>
          <w:rFonts w:cs="Calibri"/>
          <w:i/>
          <w:color w:val="7030A0"/>
          <w:sz w:val="36"/>
          <w:szCs w:val="36"/>
          <w:lang w:val="en-US"/>
        </w:rPr>
      </w:pPr>
      <w:r w:rsidRPr="00465457">
        <w:rPr>
          <w:rFonts w:cs="Calibri"/>
          <w:color w:val="7030A0"/>
          <w:sz w:val="36"/>
          <w:szCs w:val="36"/>
          <w:lang w:val="en-US"/>
        </w:rPr>
        <w:br/>
      </w:r>
      <w:r w:rsidRPr="00465457">
        <w:rPr>
          <w:rFonts w:cs="Calibri"/>
          <w:i/>
          <w:color w:val="7030A0"/>
          <w:sz w:val="28"/>
          <w:szCs w:val="36"/>
          <w:lang w:val="en-US"/>
        </w:rPr>
        <w:t>Teaching sequences to develop the competence of written communication in biochemical engineering students</w:t>
      </w:r>
    </w:p>
    <w:p w:rsidR="006D3F94" w:rsidRPr="00465457" w:rsidRDefault="006D3F94" w:rsidP="002476AA">
      <w:pPr>
        <w:spacing w:after="0" w:line="240" w:lineRule="auto"/>
        <w:ind w:right="222"/>
        <w:jc w:val="right"/>
        <w:rPr>
          <w:rFonts w:cs="Calibri"/>
          <w:b/>
          <w:sz w:val="24"/>
          <w:szCs w:val="24"/>
          <w:lang w:val="en-US"/>
        </w:rPr>
      </w:pPr>
    </w:p>
    <w:p w:rsidR="006D3F94" w:rsidRPr="006D3F94" w:rsidRDefault="002476AA" w:rsidP="002476AA">
      <w:pPr>
        <w:spacing w:after="0" w:line="240" w:lineRule="auto"/>
        <w:ind w:right="222"/>
        <w:jc w:val="right"/>
        <w:rPr>
          <w:rFonts w:cs="Calibri"/>
          <w:b/>
          <w:sz w:val="24"/>
          <w:szCs w:val="24"/>
        </w:rPr>
      </w:pPr>
      <w:r w:rsidRPr="00465457">
        <w:rPr>
          <w:rFonts w:cs="Calibri"/>
          <w:b/>
          <w:sz w:val="24"/>
          <w:szCs w:val="24"/>
          <w:lang w:val="es-MX"/>
        </w:rPr>
        <w:br/>
      </w:r>
      <w:r w:rsidR="006D3F94" w:rsidRPr="006D3F94">
        <w:rPr>
          <w:rFonts w:cs="Calibri"/>
          <w:b/>
          <w:sz w:val="24"/>
          <w:szCs w:val="24"/>
        </w:rPr>
        <w:t>Sergio Esteban Vigueras Carmona</w:t>
      </w:r>
    </w:p>
    <w:p w:rsidR="006D3F94" w:rsidRDefault="006D3F94" w:rsidP="002476AA">
      <w:pPr>
        <w:spacing w:after="0" w:line="240" w:lineRule="auto"/>
        <w:ind w:right="222"/>
        <w:jc w:val="right"/>
        <w:rPr>
          <w:rFonts w:cs="Calibri"/>
          <w:sz w:val="24"/>
          <w:szCs w:val="24"/>
        </w:rPr>
      </w:pPr>
      <w:r w:rsidRPr="00787E00">
        <w:rPr>
          <w:rFonts w:cs="Calibri"/>
          <w:sz w:val="24"/>
          <w:szCs w:val="24"/>
        </w:rPr>
        <w:t>Tecnológico de Estudios Superiores de Ecatepec</w:t>
      </w:r>
    </w:p>
    <w:p w:rsidR="006D3F94" w:rsidRPr="006D3F94" w:rsidRDefault="00102767" w:rsidP="002476AA">
      <w:pPr>
        <w:spacing w:after="0" w:line="240" w:lineRule="auto"/>
        <w:ind w:right="222"/>
        <w:jc w:val="right"/>
        <w:rPr>
          <w:rFonts w:cs="Calibri"/>
          <w:color w:val="FF0000"/>
          <w:sz w:val="24"/>
          <w:szCs w:val="24"/>
        </w:rPr>
      </w:pPr>
      <w:hyperlink r:id="rId7" w:history="1">
        <w:r w:rsidR="006D3F94" w:rsidRPr="006D3F94">
          <w:rPr>
            <w:rStyle w:val="Hipervnculo"/>
            <w:rFonts w:cs="Calibri"/>
            <w:color w:val="FF0000"/>
            <w:sz w:val="24"/>
            <w:szCs w:val="24"/>
            <w:u w:val="none"/>
          </w:rPr>
          <w:t>svigueras@tese.edu.mx</w:t>
        </w:r>
      </w:hyperlink>
    </w:p>
    <w:p w:rsidR="006D3F94" w:rsidRDefault="006D3F94" w:rsidP="002476AA">
      <w:pPr>
        <w:spacing w:after="0" w:line="240" w:lineRule="auto"/>
        <w:ind w:right="222"/>
        <w:jc w:val="right"/>
        <w:rPr>
          <w:rFonts w:cs="Calibri"/>
          <w:sz w:val="24"/>
          <w:szCs w:val="24"/>
        </w:rPr>
      </w:pPr>
    </w:p>
    <w:p w:rsidR="006D3F94" w:rsidRPr="006D3F94" w:rsidRDefault="006D3F94" w:rsidP="002476AA">
      <w:pPr>
        <w:spacing w:after="0" w:line="240" w:lineRule="auto"/>
        <w:ind w:right="222"/>
        <w:jc w:val="right"/>
        <w:rPr>
          <w:rFonts w:cs="Calibri"/>
          <w:b/>
          <w:sz w:val="24"/>
          <w:szCs w:val="24"/>
        </w:rPr>
      </w:pPr>
      <w:r w:rsidRPr="006D3F94">
        <w:rPr>
          <w:rFonts w:cs="Calibri"/>
          <w:b/>
          <w:sz w:val="24"/>
          <w:szCs w:val="24"/>
        </w:rPr>
        <w:t>María Aurora Martínez Trujillo</w:t>
      </w:r>
    </w:p>
    <w:p w:rsidR="006D3F94" w:rsidRDefault="006D3F94" w:rsidP="002476AA">
      <w:pPr>
        <w:spacing w:after="0" w:line="240" w:lineRule="auto"/>
        <w:ind w:right="222"/>
        <w:jc w:val="right"/>
        <w:rPr>
          <w:rFonts w:cs="Calibri"/>
          <w:sz w:val="24"/>
          <w:szCs w:val="24"/>
        </w:rPr>
      </w:pPr>
      <w:r w:rsidRPr="00787E00">
        <w:rPr>
          <w:rFonts w:cs="Calibri"/>
          <w:sz w:val="24"/>
          <w:szCs w:val="24"/>
        </w:rPr>
        <w:t>Tecnológico de Estudios Superiores de Ecatepec</w:t>
      </w:r>
    </w:p>
    <w:p w:rsidR="006D3F94" w:rsidRPr="00DE3E62" w:rsidRDefault="00DE3E62" w:rsidP="002476AA">
      <w:pPr>
        <w:spacing w:after="0" w:line="240" w:lineRule="auto"/>
        <w:ind w:right="222"/>
        <w:jc w:val="right"/>
        <w:rPr>
          <w:rFonts w:cs="Calibri"/>
          <w:color w:val="FF0000"/>
          <w:sz w:val="24"/>
          <w:szCs w:val="24"/>
        </w:rPr>
      </w:pPr>
      <w:r w:rsidRPr="00DE3E62">
        <w:rPr>
          <w:rFonts w:cs="Calibri"/>
          <w:color w:val="FF0000"/>
          <w:sz w:val="24"/>
          <w:szCs w:val="24"/>
        </w:rPr>
        <w:t>amartinezt@tese.edu.mx</w:t>
      </w:r>
    </w:p>
    <w:p w:rsidR="00DE3E62" w:rsidRDefault="00DE3E62" w:rsidP="002476AA">
      <w:pPr>
        <w:spacing w:after="0" w:line="240" w:lineRule="auto"/>
        <w:ind w:right="222"/>
        <w:jc w:val="right"/>
        <w:rPr>
          <w:rFonts w:cs="Calibri"/>
          <w:sz w:val="24"/>
          <w:szCs w:val="24"/>
        </w:rPr>
      </w:pPr>
    </w:p>
    <w:p w:rsidR="006D3F94" w:rsidRPr="006D3F94" w:rsidRDefault="006D3F94" w:rsidP="002476AA">
      <w:pPr>
        <w:spacing w:after="0" w:line="240" w:lineRule="auto"/>
        <w:ind w:right="222"/>
        <w:jc w:val="right"/>
        <w:rPr>
          <w:rFonts w:cs="Calibri"/>
          <w:b/>
          <w:sz w:val="24"/>
          <w:szCs w:val="24"/>
        </w:rPr>
      </w:pPr>
      <w:r w:rsidRPr="006D3F94">
        <w:rPr>
          <w:rFonts w:cs="Calibri"/>
          <w:b/>
          <w:sz w:val="24"/>
          <w:szCs w:val="24"/>
        </w:rPr>
        <w:t>Isabel De La Luz Membrillo Venegas</w:t>
      </w:r>
    </w:p>
    <w:p w:rsidR="006D3F94" w:rsidRDefault="006D3F94" w:rsidP="002476AA">
      <w:pPr>
        <w:spacing w:after="0" w:line="240" w:lineRule="auto"/>
        <w:ind w:right="222"/>
        <w:jc w:val="right"/>
        <w:rPr>
          <w:rFonts w:cs="Calibri"/>
          <w:sz w:val="24"/>
          <w:szCs w:val="24"/>
        </w:rPr>
      </w:pPr>
      <w:r w:rsidRPr="00787E00">
        <w:rPr>
          <w:rFonts w:cs="Calibri"/>
          <w:sz w:val="24"/>
          <w:szCs w:val="24"/>
        </w:rPr>
        <w:t>Tecnológico de Estudios Superiores de Ecatepec</w:t>
      </w:r>
    </w:p>
    <w:p w:rsidR="006D3F94" w:rsidRPr="00DE3E62" w:rsidRDefault="00DE3E62" w:rsidP="002476AA">
      <w:pPr>
        <w:spacing w:after="0" w:line="240" w:lineRule="auto"/>
        <w:ind w:right="222"/>
        <w:jc w:val="right"/>
        <w:rPr>
          <w:rFonts w:cs="Calibri"/>
          <w:color w:val="FF0000"/>
          <w:sz w:val="24"/>
          <w:szCs w:val="24"/>
        </w:rPr>
      </w:pPr>
      <w:r w:rsidRPr="00DE3E62">
        <w:rPr>
          <w:rFonts w:cs="Calibri"/>
          <w:color w:val="FF0000"/>
          <w:sz w:val="24"/>
          <w:szCs w:val="24"/>
        </w:rPr>
        <w:t>membrilloisabel@hotmail.com</w:t>
      </w:r>
    </w:p>
    <w:p w:rsidR="00DE3E62" w:rsidRDefault="00DE3E62" w:rsidP="002476AA">
      <w:pPr>
        <w:spacing w:after="0" w:line="240" w:lineRule="auto"/>
        <w:ind w:right="222"/>
        <w:jc w:val="right"/>
        <w:rPr>
          <w:rFonts w:cs="Calibri"/>
          <w:sz w:val="24"/>
          <w:szCs w:val="24"/>
        </w:rPr>
      </w:pPr>
    </w:p>
    <w:p w:rsidR="006D3F94" w:rsidRPr="006D3F94" w:rsidRDefault="006D3F94" w:rsidP="002476AA">
      <w:pPr>
        <w:spacing w:after="0" w:line="240" w:lineRule="auto"/>
        <w:ind w:right="222"/>
        <w:jc w:val="right"/>
        <w:rPr>
          <w:rFonts w:cs="Calibri"/>
          <w:b/>
          <w:sz w:val="24"/>
          <w:szCs w:val="24"/>
        </w:rPr>
      </w:pPr>
      <w:proofErr w:type="spellStart"/>
      <w:r w:rsidRPr="006D3F94">
        <w:rPr>
          <w:rFonts w:cs="Calibri"/>
          <w:b/>
          <w:sz w:val="24"/>
          <w:szCs w:val="24"/>
        </w:rPr>
        <w:t>Mayola</w:t>
      </w:r>
      <w:proofErr w:type="spellEnd"/>
      <w:r w:rsidRPr="006D3F94">
        <w:rPr>
          <w:rFonts w:cs="Calibri"/>
          <w:b/>
          <w:sz w:val="24"/>
          <w:szCs w:val="24"/>
        </w:rPr>
        <w:t xml:space="preserve"> García Rivero</w:t>
      </w:r>
    </w:p>
    <w:p w:rsidR="006D3F94" w:rsidRDefault="006D3F94" w:rsidP="002476AA">
      <w:pPr>
        <w:spacing w:after="0" w:line="240" w:lineRule="auto"/>
        <w:ind w:right="222"/>
        <w:jc w:val="right"/>
        <w:rPr>
          <w:rFonts w:cs="Calibri"/>
          <w:sz w:val="24"/>
          <w:szCs w:val="24"/>
        </w:rPr>
      </w:pPr>
      <w:r w:rsidRPr="00787E00">
        <w:rPr>
          <w:rFonts w:cs="Calibri"/>
          <w:sz w:val="24"/>
          <w:szCs w:val="24"/>
        </w:rPr>
        <w:t>Tecnológico de Estudios Superiores de Ecatepec</w:t>
      </w:r>
    </w:p>
    <w:p w:rsidR="006D3F94" w:rsidRPr="00DE3E62" w:rsidRDefault="00DE3E62" w:rsidP="002476AA">
      <w:pPr>
        <w:spacing w:after="0" w:line="240" w:lineRule="auto"/>
        <w:ind w:right="222"/>
        <w:jc w:val="right"/>
        <w:rPr>
          <w:rFonts w:cs="Calibri"/>
          <w:color w:val="FF0000"/>
          <w:sz w:val="24"/>
          <w:szCs w:val="24"/>
        </w:rPr>
      </w:pPr>
      <w:r w:rsidRPr="00DE3E62">
        <w:rPr>
          <w:rFonts w:cs="Calibri"/>
          <w:color w:val="FF0000"/>
          <w:sz w:val="24"/>
          <w:szCs w:val="24"/>
        </w:rPr>
        <w:t>mgarcia@tese.edu.mx</w:t>
      </w:r>
    </w:p>
    <w:p w:rsidR="00DE3E62" w:rsidRDefault="00DE3E62" w:rsidP="002476AA">
      <w:pPr>
        <w:spacing w:after="0" w:line="240" w:lineRule="auto"/>
        <w:ind w:right="222"/>
        <w:jc w:val="right"/>
        <w:rPr>
          <w:rFonts w:cs="Calibri"/>
          <w:b/>
          <w:sz w:val="24"/>
          <w:szCs w:val="24"/>
        </w:rPr>
      </w:pPr>
    </w:p>
    <w:p w:rsidR="006D3F94" w:rsidRPr="006D3F94" w:rsidRDefault="006D3F94" w:rsidP="002476AA">
      <w:pPr>
        <w:spacing w:after="0" w:line="240" w:lineRule="auto"/>
        <w:ind w:right="222"/>
        <w:jc w:val="right"/>
        <w:rPr>
          <w:rFonts w:cs="Calibri"/>
          <w:b/>
          <w:sz w:val="24"/>
          <w:szCs w:val="24"/>
        </w:rPr>
      </w:pPr>
      <w:r w:rsidRPr="006D3F94">
        <w:rPr>
          <w:rFonts w:cs="Calibri"/>
          <w:b/>
          <w:sz w:val="24"/>
          <w:szCs w:val="24"/>
        </w:rPr>
        <w:t>Gabriela Zafra Jiménez</w:t>
      </w:r>
    </w:p>
    <w:p w:rsidR="00400642" w:rsidRPr="00787E00" w:rsidRDefault="00400642" w:rsidP="002476AA">
      <w:pPr>
        <w:spacing w:after="0" w:line="240" w:lineRule="auto"/>
        <w:ind w:right="222"/>
        <w:jc w:val="right"/>
        <w:rPr>
          <w:rFonts w:cs="Calibri"/>
          <w:sz w:val="24"/>
          <w:szCs w:val="24"/>
        </w:rPr>
      </w:pPr>
      <w:r w:rsidRPr="00787E00">
        <w:rPr>
          <w:rFonts w:cs="Calibri"/>
          <w:sz w:val="24"/>
          <w:szCs w:val="24"/>
        </w:rPr>
        <w:t>Tecnológico de Estudios Superiores de Ecatepec</w:t>
      </w:r>
    </w:p>
    <w:p w:rsidR="00400642" w:rsidRPr="00DE3E62" w:rsidRDefault="00DE3E62" w:rsidP="002476AA">
      <w:pPr>
        <w:spacing w:after="0" w:line="360" w:lineRule="auto"/>
        <w:ind w:right="222"/>
        <w:jc w:val="right"/>
        <w:rPr>
          <w:rFonts w:cs="Calibri"/>
          <w:color w:val="FF0000"/>
          <w:sz w:val="24"/>
          <w:szCs w:val="24"/>
        </w:rPr>
      </w:pPr>
      <w:r w:rsidRPr="00DE3E62">
        <w:rPr>
          <w:rFonts w:cs="Calibri"/>
          <w:color w:val="FF0000"/>
          <w:sz w:val="24"/>
          <w:szCs w:val="24"/>
        </w:rPr>
        <w:t>gzafra@tese.edu.mx</w:t>
      </w:r>
    </w:p>
    <w:p w:rsidR="006D3F94" w:rsidRPr="00787E00" w:rsidRDefault="006D3F94"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color w:val="7030A0"/>
          <w:sz w:val="28"/>
          <w:szCs w:val="24"/>
        </w:rPr>
      </w:pPr>
    </w:p>
    <w:p w:rsidR="006D3F94" w:rsidRPr="006D3F94" w:rsidRDefault="00400642" w:rsidP="00787E00">
      <w:pPr>
        <w:spacing w:after="0" w:line="360" w:lineRule="auto"/>
        <w:ind w:right="222"/>
        <w:jc w:val="both"/>
        <w:rPr>
          <w:rFonts w:cs="Calibri"/>
          <w:color w:val="7030A0"/>
          <w:sz w:val="28"/>
          <w:szCs w:val="24"/>
        </w:rPr>
      </w:pPr>
      <w:r w:rsidRPr="006D3F94">
        <w:rPr>
          <w:rFonts w:cs="Calibri"/>
          <w:color w:val="7030A0"/>
          <w:sz w:val="28"/>
          <w:szCs w:val="24"/>
        </w:rPr>
        <w:t>Resumen</w:t>
      </w: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El presente trabajo contiene una serie didáctica para desarrollar la competencia de comunicación escrita en estudiantes de ingeniería bioquímica. En esta licenciatura los estudiantes con frecuencia son evaluados en función de la calidad de sus escritos. Sin embargo, y a pesar de su innegable primacía, la redacción no tiene una tradición didáctica propia, y es así como muchos estudiantes y profesores se encuentran afrontando la redacción sin ningún trabajo preparatorio. La serie didáctica consta de secuencias que se </w:t>
      </w:r>
      <w:r w:rsidRPr="002476AA">
        <w:rPr>
          <w:rFonts w:ascii="Times New Roman" w:hAnsi="Times New Roman"/>
          <w:sz w:val="24"/>
          <w:szCs w:val="24"/>
        </w:rPr>
        <w:lastRenderedPageBreak/>
        <w:t>incrustan en los objetivos de las asignaturas del plan de ingeniería bioquímica del Sistema Nacional de Institutos Tecnológicos de México. Por ejemplo, en el primer semestre se sugiere se desarrolle la habilidad para la generación de resúmenes en las asignaturas de biología y química, aplicando la secuencia didáctica descrita en el desarrollo de contenidos de este trabajo. Para el segundo y tercer semestre se establecen los pasos para la elaboración de textos originales, iniciando con la monografía. En el cuarto y quinto semestres se da seguimiento mediante la realización de ensayos. La escritura de proyectos de investigación se incluyen en el sexto y séptimo semestre y los reportes de investigación se realizan en el octavo semestre. Cada secuencia permite el desarrollo y evaluación sistemática de la competencia de comunicación escrita.</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 xml:space="preserve"> </w:t>
      </w:r>
    </w:p>
    <w:p w:rsidR="006D3F94" w:rsidRDefault="00400642" w:rsidP="00787E00">
      <w:pPr>
        <w:spacing w:after="0" w:line="360" w:lineRule="auto"/>
        <w:ind w:right="222"/>
        <w:jc w:val="both"/>
        <w:rPr>
          <w:rFonts w:cs="Calibri"/>
          <w:sz w:val="24"/>
          <w:szCs w:val="24"/>
        </w:rPr>
      </w:pPr>
      <w:r w:rsidRPr="00540EBB">
        <w:rPr>
          <w:rFonts w:cs="Calibri"/>
          <w:color w:val="7030A0"/>
          <w:sz w:val="28"/>
          <w:szCs w:val="24"/>
        </w:rPr>
        <w:t>Palabras claves:</w:t>
      </w:r>
      <w:r w:rsidRPr="00540EBB">
        <w:rPr>
          <w:rFonts w:cs="Calibri"/>
          <w:sz w:val="28"/>
          <w:szCs w:val="24"/>
        </w:rPr>
        <w:t xml:space="preserve"> </w:t>
      </w:r>
      <w:r w:rsidRPr="002476AA">
        <w:rPr>
          <w:rFonts w:ascii="Times New Roman" w:hAnsi="Times New Roman"/>
          <w:sz w:val="24"/>
          <w:szCs w:val="24"/>
        </w:rPr>
        <w:t>redacción, textos académicos, reportes técnicos, protocolos de investigación.</w:t>
      </w:r>
      <w:r w:rsidRPr="00787E00">
        <w:rPr>
          <w:rFonts w:cs="Calibri"/>
          <w:sz w:val="24"/>
          <w:szCs w:val="24"/>
        </w:rPr>
        <w:t xml:space="preserve"> </w:t>
      </w:r>
    </w:p>
    <w:p w:rsidR="002476AA" w:rsidRDefault="002476AA" w:rsidP="00787E00">
      <w:pPr>
        <w:spacing w:after="0" w:line="360" w:lineRule="auto"/>
        <w:ind w:right="222"/>
        <w:jc w:val="both"/>
        <w:rPr>
          <w:rFonts w:cs="Calibri"/>
          <w:color w:val="7030A0"/>
          <w:sz w:val="28"/>
          <w:szCs w:val="24"/>
        </w:rPr>
      </w:pPr>
    </w:p>
    <w:p w:rsidR="002476AA" w:rsidRPr="002476AA" w:rsidRDefault="002476AA" w:rsidP="00787E00">
      <w:pPr>
        <w:spacing w:after="0" w:line="360" w:lineRule="auto"/>
        <w:ind w:right="222"/>
        <w:jc w:val="both"/>
        <w:rPr>
          <w:rFonts w:cs="Calibri"/>
          <w:color w:val="7030A0"/>
          <w:sz w:val="28"/>
          <w:szCs w:val="24"/>
        </w:rPr>
      </w:pPr>
      <w:proofErr w:type="spellStart"/>
      <w:r w:rsidRPr="002476AA">
        <w:rPr>
          <w:rFonts w:cs="Calibri"/>
          <w:color w:val="7030A0"/>
          <w:sz w:val="28"/>
          <w:szCs w:val="24"/>
        </w:rPr>
        <w:t>Abstract</w:t>
      </w:r>
      <w:proofErr w:type="spellEnd"/>
    </w:p>
    <w:p w:rsidR="002476AA" w:rsidRPr="00465457" w:rsidRDefault="002476AA" w:rsidP="002476AA">
      <w:pPr>
        <w:spacing w:after="0" w:line="360" w:lineRule="auto"/>
        <w:ind w:right="222"/>
        <w:jc w:val="both"/>
        <w:rPr>
          <w:rFonts w:ascii="Times New Roman" w:hAnsi="Times New Roman"/>
          <w:sz w:val="24"/>
          <w:szCs w:val="24"/>
          <w:lang w:val="en-US"/>
        </w:rPr>
      </w:pPr>
      <w:r w:rsidRPr="00465457">
        <w:rPr>
          <w:rFonts w:ascii="Times New Roman" w:hAnsi="Times New Roman"/>
          <w:sz w:val="24"/>
          <w:szCs w:val="24"/>
          <w:lang w:val="en-US"/>
        </w:rPr>
        <w:t xml:space="preserve">This paper contains a series of instructional competence to develop written communication in biochemical engineering students. In this degree students are often evaluated based on the quality of his writing. However, despite its undeniable primacy, the wording does not own educational tradition, and this is how many students and teachers are facing the wording without any preparatory work. The didactic series consists of sequences that are embedded in the objectives of the </w:t>
      </w:r>
      <w:proofErr w:type="gramStart"/>
      <w:r w:rsidRPr="00465457">
        <w:rPr>
          <w:rFonts w:ascii="Times New Roman" w:hAnsi="Times New Roman"/>
          <w:sz w:val="24"/>
          <w:szCs w:val="24"/>
          <w:lang w:val="en-US"/>
        </w:rPr>
        <w:t>subjects</w:t>
      </w:r>
      <w:proofErr w:type="gramEnd"/>
      <w:r w:rsidRPr="00465457">
        <w:rPr>
          <w:rFonts w:ascii="Times New Roman" w:hAnsi="Times New Roman"/>
          <w:sz w:val="24"/>
          <w:szCs w:val="24"/>
          <w:lang w:val="en-US"/>
        </w:rPr>
        <w:t xml:space="preserve"> biochemical engineering plan of the National System of Technological Institutes of Mexico. For example, in the first half suggested the ability to generate summaries in the subjects of biology and chemistry is developed by applying the teaching sequence described in the content development of this work. For the second and third semester steps for the development of original texts are set, starting with the monograph. In the fourth and fifth semesters track it is given by the testing. Writing research projects are included in the sixth and seventh semester and research reports are carried out in the eighth semester. Each sequence enables the development and systematic assessment of the competence of written communication.</w:t>
      </w:r>
    </w:p>
    <w:p w:rsidR="002476AA" w:rsidRPr="00465457" w:rsidRDefault="002476AA" w:rsidP="002476AA">
      <w:pPr>
        <w:spacing w:after="0" w:line="360" w:lineRule="auto"/>
        <w:ind w:right="222"/>
        <w:jc w:val="both"/>
        <w:rPr>
          <w:rFonts w:cs="Calibri"/>
          <w:sz w:val="24"/>
          <w:szCs w:val="24"/>
          <w:lang w:val="en-US"/>
        </w:rPr>
      </w:pPr>
      <w:r w:rsidRPr="00465457">
        <w:rPr>
          <w:rFonts w:cs="Calibri"/>
          <w:sz w:val="24"/>
          <w:szCs w:val="24"/>
          <w:lang w:val="en-US"/>
        </w:rPr>
        <w:t> </w:t>
      </w:r>
    </w:p>
    <w:p w:rsidR="002476AA" w:rsidRPr="00465457" w:rsidRDefault="002476AA" w:rsidP="002476AA">
      <w:pPr>
        <w:spacing w:after="0" w:line="360" w:lineRule="auto"/>
        <w:ind w:right="222"/>
        <w:jc w:val="both"/>
        <w:rPr>
          <w:rFonts w:ascii="Times New Roman" w:hAnsi="Times New Roman"/>
          <w:sz w:val="24"/>
          <w:szCs w:val="24"/>
          <w:lang w:val="en-US"/>
        </w:rPr>
      </w:pPr>
      <w:r w:rsidRPr="00465457">
        <w:rPr>
          <w:rFonts w:cs="Calibri"/>
          <w:color w:val="7030A0"/>
          <w:sz w:val="28"/>
          <w:szCs w:val="24"/>
          <w:lang w:val="en-US"/>
        </w:rPr>
        <w:t>Key words:</w:t>
      </w:r>
      <w:r w:rsidRPr="00465457">
        <w:rPr>
          <w:rFonts w:cs="Calibri"/>
          <w:sz w:val="24"/>
          <w:szCs w:val="24"/>
          <w:lang w:val="en-US"/>
        </w:rPr>
        <w:t xml:space="preserve"> </w:t>
      </w:r>
      <w:r w:rsidRPr="00465457">
        <w:rPr>
          <w:rFonts w:ascii="Times New Roman" w:hAnsi="Times New Roman"/>
          <w:sz w:val="24"/>
          <w:szCs w:val="24"/>
          <w:lang w:val="en-US"/>
        </w:rPr>
        <w:t>writing, academic texts, technical reports, research protocols.</w:t>
      </w:r>
    </w:p>
    <w:p w:rsidR="002476AA" w:rsidRPr="00465457" w:rsidRDefault="002476AA" w:rsidP="002476AA">
      <w:pPr>
        <w:spacing w:after="0" w:line="360" w:lineRule="auto"/>
        <w:ind w:right="222"/>
        <w:jc w:val="both"/>
        <w:rPr>
          <w:rFonts w:cs="Calibri"/>
          <w:sz w:val="24"/>
          <w:szCs w:val="24"/>
          <w:lang w:val="en-US"/>
        </w:rPr>
      </w:pPr>
    </w:p>
    <w:p w:rsidR="002476AA" w:rsidRPr="002476AA" w:rsidRDefault="002476AA" w:rsidP="002476AA">
      <w:pPr>
        <w:spacing w:after="0" w:line="360" w:lineRule="auto"/>
        <w:ind w:right="222"/>
        <w:jc w:val="both"/>
        <w:rPr>
          <w:rFonts w:ascii="Times New Roman" w:hAnsi="Times New Roman"/>
          <w:sz w:val="28"/>
          <w:szCs w:val="24"/>
        </w:rPr>
      </w:pPr>
      <w:r w:rsidRPr="00465457">
        <w:rPr>
          <w:rFonts w:ascii="Times New Roman" w:hAnsi="Times New Roman"/>
          <w:b/>
          <w:sz w:val="24"/>
          <w:lang w:val="es-MX"/>
        </w:rPr>
        <w:lastRenderedPageBreak/>
        <w:t>Fecha recepción:</w:t>
      </w:r>
      <w:r w:rsidRPr="00465457">
        <w:rPr>
          <w:rFonts w:ascii="Times New Roman" w:hAnsi="Times New Roman"/>
          <w:sz w:val="24"/>
          <w:lang w:val="es-MX"/>
        </w:rPr>
        <w:t xml:space="preserve">   Enero 2014                                                 </w:t>
      </w:r>
      <w:r w:rsidRPr="00465457">
        <w:rPr>
          <w:rFonts w:ascii="Times New Roman" w:hAnsi="Times New Roman"/>
          <w:b/>
          <w:sz w:val="24"/>
          <w:lang w:val="es-MX"/>
        </w:rPr>
        <w:t>Fecha aceptación:</w:t>
      </w:r>
      <w:r w:rsidRPr="00465457">
        <w:rPr>
          <w:rFonts w:ascii="Times New Roman" w:hAnsi="Times New Roman"/>
          <w:sz w:val="24"/>
          <w:lang w:val="es-MX"/>
        </w:rPr>
        <w:t xml:space="preserve"> Abril 2014</w:t>
      </w:r>
    </w:p>
    <w:p w:rsidR="00400642" w:rsidRPr="00787E00" w:rsidRDefault="00102767" w:rsidP="00787E00">
      <w:pPr>
        <w:spacing w:after="0" w:line="360" w:lineRule="auto"/>
        <w:ind w:right="222"/>
        <w:jc w:val="both"/>
        <w:rPr>
          <w:rFonts w:cs="Calibri"/>
          <w:sz w:val="24"/>
          <w:szCs w:val="24"/>
        </w:rPr>
      </w:pPr>
      <w:r>
        <w:rPr>
          <w:rFonts w:cs="Calibri"/>
          <w:sz w:val="24"/>
          <w:szCs w:val="24"/>
        </w:rPr>
        <w:pict>
          <v:rect id="_x0000_i1025" style="width:0;height:1.5pt" o:hralign="center" o:hrstd="t" o:hr="t" fillcolor="#a0a0a0" stroked="f"/>
        </w:pict>
      </w:r>
    </w:p>
    <w:p w:rsidR="006D3F94" w:rsidRDefault="006D3F94" w:rsidP="00787E00">
      <w:pPr>
        <w:spacing w:after="0" w:line="360" w:lineRule="auto"/>
        <w:ind w:right="222"/>
        <w:jc w:val="both"/>
        <w:rPr>
          <w:rFonts w:cs="Calibri"/>
          <w:b/>
          <w:sz w:val="24"/>
          <w:szCs w:val="24"/>
        </w:rPr>
      </w:pPr>
    </w:p>
    <w:p w:rsidR="006D3F94" w:rsidRDefault="006D3F94" w:rsidP="00787E00">
      <w:pPr>
        <w:spacing w:after="0" w:line="360" w:lineRule="auto"/>
        <w:ind w:right="222"/>
        <w:jc w:val="both"/>
        <w:rPr>
          <w:rFonts w:cs="Calibri"/>
          <w:b/>
          <w:sz w:val="24"/>
          <w:szCs w:val="24"/>
        </w:rPr>
      </w:pPr>
    </w:p>
    <w:p w:rsidR="00400642" w:rsidRPr="006D3F94" w:rsidRDefault="006D3F94" w:rsidP="00787E00">
      <w:pPr>
        <w:spacing w:after="0" w:line="360" w:lineRule="auto"/>
        <w:ind w:right="222"/>
        <w:jc w:val="both"/>
        <w:rPr>
          <w:rFonts w:cs="Calibri"/>
          <w:color w:val="7030A0"/>
          <w:sz w:val="28"/>
          <w:szCs w:val="24"/>
        </w:rPr>
      </w:pPr>
      <w:r w:rsidRPr="006D3F94">
        <w:rPr>
          <w:rFonts w:cs="Calibri"/>
          <w:color w:val="7030A0"/>
          <w:sz w:val="28"/>
          <w:szCs w:val="24"/>
        </w:rPr>
        <w:t>Introducción</w:t>
      </w:r>
    </w:p>
    <w:p w:rsidR="006D3F94" w:rsidRPr="00787E00" w:rsidRDefault="006D3F94" w:rsidP="00787E00">
      <w:pPr>
        <w:spacing w:after="0" w:line="360" w:lineRule="auto"/>
        <w:ind w:right="222"/>
        <w:jc w:val="both"/>
        <w:rPr>
          <w:rFonts w:cs="Calibri"/>
          <w:b/>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La Dirección General de Educación Superior Tecnológica (DGEST) se encarga de administrar la Educación Superior Tecnológica en México. El Sistema de Institutos Tecnológicos está integrado por 111 Institutos Tecnológicos Federales y 128 Tecnológicos Descentralizados (Ruiz, 2007). La matricula nacional a nivel licenciatura en 2012 era de 3</w:t>
      </w:r>
      <w:proofErr w:type="gramStart"/>
      <w:r w:rsidRPr="002476AA">
        <w:rPr>
          <w:rFonts w:ascii="Times New Roman" w:hAnsi="Times New Roman"/>
          <w:sz w:val="24"/>
          <w:szCs w:val="24"/>
        </w:rPr>
        <w:t>,274,000</w:t>
      </w:r>
      <w:proofErr w:type="gramEnd"/>
      <w:r w:rsidRPr="002476AA">
        <w:rPr>
          <w:rFonts w:ascii="Times New Roman" w:hAnsi="Times New Roman"/>
          <w:sz w:val="24"/>
          <w:szCs w:val="24"/>
        </w:rPr>
        <w:t xml:space="preserve"> estudiantes (</w:t>
      </w:r>
      <w:proofErr w:type="spellStart"/>
      <w:r w:rsidRPr="002476AA">
        <w:rPr>
          <w:rFonts w:ascii="Times New Roman" w:hAnsi="Times New Roman"/>
          <w:sz w:val="24"/>
          <w:szCs w:val="24"/>
        </w:rPr>
        <w:t>Tuirán</w:t>
      </w:r>
      <w:proofErr w:type="spellEnd"/>
      <w:r w:rsidRPr="002476AA">
        <w:rPr>
          <w:rFonts w:ascii="Times New Roman" w:hAnsi="Times New Roman"/>
          <w:sz w:val="24"/>
          <w:szCs w:val="24"/>
        </w:rPr>
        <w:t>, 2012) y la matricula del Subsistema de Educación Tecnológica Nacional era en ese mismo año de 470359 estudiantes (ANUIES, 2012), lo que representa el 14 % de la matricula nacional a nivel licenciatura. Las Instituciones de educación superior tecnológica surgen en 1948 con la creación de los Institutos Tecnológicos de Durango y Chihuahua, su desincorporación en 1958 del Instituto Politécnico Nacional marcó el nacimiento del Sistema de Educación Tecnológica en México. La consolidación del Sistema se logró gracias a la respuesta que estas instituciones dieron a las necesidades propias del medio geográfico, social e industrial de la zona en que se ubican; así como a la dinámica actualización de los programas de estudios, que se han ido orientado para ofrecer a los estudiantes oportunidades de obtener experiencia en campo y participación social. Actualmente los programas de los Tecnológicos están basados en competencias. Cuando hablamos de competencias nos referimos al conjunto de capacidades que se consiguen al combinar conocimientos, habilidades, actitudes y motivaciones. Una competencia no está limitada a elementos cognitivos –teorías, leyes, modelos, conceptos o conocimientos implícitos–, sino que abarca tanto habilidades técnicas como atributos interpersonales.</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lang w:val="es-MX"/>
        </w:rPr>
      </w:pPr>
      <w:r w:rsidRPr="002476AA">
        <w:rPr>
          <w:rFonts w:ascii="Times New Roman" w:hAnsi="Times New Roman"/>
          <w:sz w:val="24"/>
          <w:szCs w:val="24"/>
          <w:lang w:val="es-MX"/>
        </w:rPr>
        <w:t>La educación basada en competencias afirma que el fin y centro del aprendizaje es el alumno y por ello es necesario reforzar el desarrollo del pensamiento crítico del estudiante, con objeto que éste cuente con herramientas que le permitan discernir, deliberar y elegir libremente, de tal forma que pueda comprometerse con la construcción de sus propias competencias (</w:t>
      </w:r>
      <w:proofErr w:type="spellStart"/>
      <w:r w:rsidRPr="002476AA">
        <w:rPr>
          <w:rFonts w:ascii="Times New Roman" w:hAnsi="Times New Roman"/>
          <w:sz w:val="24"/>
          <w:szCs w:val="24"/>
          <w:lang w:val="es-MX"/>
        </w:rPr>
        <w:t>Argudín</w:t>
      </w:r>
      <w:proofErr w:type="spellEnd"/>
      <w:r w:rsidRPr="002476AA">
        <w:rPr>
          <w:rFonts w:ascii="Times New Roman" w:hAnsi="Times New Roman"/>
          <w:sz w:val="24"/>
          <w:szCs w:val="24"/>
          <w:lang w:val="es-MX"/>
        </w:rPr>
        <w:t xml:space="preserve"> y Luna, 2006).</w:t>
      </w:r>
    </w:p>
    <w:p w:rsidR="006D3F94" w:rsidRPr="002476AA" w:rsidRDefault="006D3F94" w:rsidP="00787E00">
      <w:pPr>
        <w:spacing w:after="0" w:line="360" w:lineRule="auto"/>
        <w:ind w:right="222"/>
        <w:jc w:val="both"/>
        <w:rPr>
          <w:rFonts w:ascii="Times New Roman" w:hAnsi="Times New Roman"/>
          <w:sz w:val="24"/>
          <w:szCs w:val="24"/>
          <w:lang w:val="es-MX"/>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lang w:val="es-MX"/>
        </w:rPr>
        <w:lastRenderedPageBreak/>
        <w:t xml:space="preserve">Los estudiantes en ingeniería bioquímica deben </w:t>
      </w:r>
      <w:r w:rsidRPr="002476AA">
        <w:rPr>
          <w:rFonts w:ascii="Times New Roman" w:hAnsi="Times New Roman"/>
          <w:sz w:val="24"/>
          <w:szCs w:val="24"/>
        </w:rPr>
        <w:t xml:space="preserve">desarrollar las competencias pertinentes a su profesión, es decir, que a partir de la </w:t>
      </w:r>
      <w:r w:rsidRPr="002476AA">
        <w:rPr>
          <w:rFonts w:ascii="Times New Roman" w:hAnsi="Times New Roman"/>
          <w:b/>
          <w:bCs/>
          <w:sz w:val="24"/>
          <w:szCs w:val="24"/>
        </w:rPr>
        <w:t xml:space="preserve">lectura </w:t>
      </w:r>
      <w:r w:rsidRPr="002476AA">
        <w:rPr>
          <w:rFonts w:ascii="Times New Roman" w:hAnsi="Times New Roman"/>
          <w:sz w:val="24"/>
          <w:szCs w:val="24"/>
        </w:rPr>
        <w:t xml:space="preserve">comprenda los tópicos de las matemáticas, química, bioquímica, fenómenos de transporte y termodinámica que les permitan analizar textos científicos y técnicos en el campo de la ingeniería química y bioquímica. Además, deben desarrollar paralelamente competencias que le permitan tener una buena </w:t>
      </w:r>
      <w:r w:rsidRPr="002476AA">
        <w:rPr>
          <w:rFonts w:ascii="Times New Roman" w:hAnsi="Times New Roman"/>
          <w:b/>
          <w:bCs/>
          <w:sz w:val="24"/>
          <w:szCs w:val="24"/>
        </w:rPr>
        <w:t xml:space="preserve">comunicación </w:t>
      </w:r>
      <w:r w:rsidRPr="002476AA">
        <w:rPr>
          <w:rFonts w:ascii="Times New Roman" w:hAnsi="Times New Roman"/>
          <w:bCs/>
          <w:sz w:val="24"/>
          <w:szCs w:val="24"/>
        </w:rPr>
        <w:t>oral</w:t>
      </w:r>
      <w:r w:rsidRPr="002476AA">
        <w:rPr>
          <w:rFonts w:ascii="Times New Roman" w:hAnsi="Times New Roman"/>
          <w:b/>
          <w:bCs/>
          <w:sz w:val="24"/>
          <w:szCs w:val="24"/>
        </w:rPr>
        <w:t xml:space="preserve"> </w:t>
      </w:r>
      <w:r w:rsidRPr="002476AA">
        <w:rPr>
          <w:rFonts w:ascii="Times New Roman" w:hAnsi="Times New Roman"/>
          <w:bCs/>
          <w:sz w:val="24"/>
          <w:szCs w:val="24"/>
        </w:rPr>
        <w:t>y</w:t>
      </w:r>
      <w:r w:rsidRPr="002476AA">
        <w:rPr>
          <w:rFonts w:ascii="Times New Roman" w:hAnsi="Times New Roman"/>
          <w:b/>
          <w:bCs/>
          <w:sz w:val="24"/>
          <w:szCs w:val="24"/>
        </w:rPr>
        <w:t xml:space="preserve"> escrita </w:t>
      </w:r>
      <w:r w:rsidRPr="002476AA">
        <w:rPr>
          <w:rFonts w:ascii="Times New Roman" w:hAnsi="Times New Roman"/>
          <w:sz w:val="24"/>
          <w:szCs w:val="24"/>
        </w:rPr>
        <w:t xml:space="preserve">para difundir y explicar sus conocimientos. También es importante que </w:t>
      </w:r>
      <w:r w:rsidRPr="002476AA">
        <w:rPr>
          <w:rFonts w:ascii="Times New Roman" w:hAnsi="Times New Roman"/>
          <w:bCs/>
          <w:sz w:val="24"/>
          <w:szCs w:val="24"/>
        </w:rPr>
        <w:t xml:space="preserve">usen efectivamente las </w:t>
      </w:r>
      <w:proofErr w:type="spellStart"/>
      <w:r w:rsidRPr="002476AA">
        <w:rPr>
          <w:rFonts w:ascii="Times New Roman" w:hAnsi="Times New Roman"/>
          <w:bCs/>
          <w:sz w:val="24"/>
          <w:szCs w:val="24"/>
        </w:rPr>
        <w:t>TICs</w:t>
      </w:r>
      <w:proofErr w:type="spellEnd"/>
      <w:r w:rsidRPr="002476AA">
        <w:rPr>
          <w:rFonts w:ascii="Times New Roman" w:hAnsi="Times New Roman"/>
          <w:b/>
          <w:bCs/>
          <w:sz w:val="24"/>
          <w:szCs w:val="24"/>
        </w:rPr>
        <w:t xml:space="preserve"> </w:t>
      </w:r>
      <w:r w:rsidRPr="002476AA">
        <w:rPr>
          <w:rFonts w:ascii="Times New Roman" w:hAnsi="Times New Roman"/>
          <w:sz w:val="24"/>
          <w:szCs w:val="24"/>
        </w:rPr>
        <w:t xml:space="preserve">para la investigación de diversos tópicos. Lo antes expuesto, permite al ingeniero bioquímico integrar el conocimiento de las ciencias básicas y de la ingeniería para la </w:t>
      </w:r>
      <w:r w:rsidRPr="002476AA">
        <w:rPr>
          <w:rFonts w:ascii="Times New Roman" w:hAnsi="Times New Roman"/>
          <w:bCs/>
          <w:sz w:val="24"/>
          <w:szCs w:val="24"/>
        </w:rPr>
        <w:t>resolución de problemas</w:t>
      </w:r>
      <w:r w:rsidRPr="002476AA">
        <w:rPr>
          <w:rFonts w:ascii="Times New Roman" w:hAnsi="Times New Roman"/>
          <w:b/>
          <w:bCs/>
          <w:sz w:val="24"/>
          <w:szCs w:val="24"/>
        </w:rPr>
        <w:t xml:space="preserve"> </w:t>
      </w:r>
      <w:r w:rsidRPr="002476AA">
        <w:rPr>
          <w:rFonts w:ascii="Times New Roman" w:hAnsi="Times New Roman"/>
          <w:sz w:val="24"/>
          <w:szCs w:val="24"/>
        </w:rPr>
        <w:t>tecnológicos y sociales competentes a su profesión.</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La evaluación sistemática y continua de los tópicos en ingeniería permite al alumno desarrollar las competencias propias de su profesión; sin embargo, la comunicación escrita aunque es exigida durante la formación del ingeniero, no sigue un proceso de enseñanza, pero en algunas ocasiones, sí evalúa rigurosa. El problema de esta forma de evaluar radica en la confusión que genera en el estudiante, sobre la importancia y trascendencia de saber escribir. </w:t>
      </w:r>
    </w:p>
    <w:p w:rsidR="006D3F94" w:rsidRPr="002476AA" w:rsidRDefault="006D3F94" w:rsidP="00787E00">
      <w:pPr>
        <w:spacing w:after="0" w:line="360" w:lineRule="auto"/>
        <w:ind w:right="222"/>
        <w:jc w:val="both"/>
        <w:rPr>
          <w:rFonts w:ascii="Times New Roman" w:hAnsi="Times New Roman"/>
          <w:sz w:val="24"/>
          <w:szCs w:val="24"/>
        </w:rPr>
      </w:pPr>
    </w:p>
    <w:p w:rsidR="006D3F94"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Aunque los planes y programas de la Educación Media Superior tienen como propósito el desarrollo de la habilidad de la escritura y la redacción de diversos géneros académicos; la realidad es que cuando muchos alumnos ingresan al nivel superior no reconocen la diferencia entre un resumen y un ensayo. Por otro lado, los planes de estudios en Ingeniería Bioquímica en México no plantean asignaturas dedicadas al desarrollo de la competencia: </w:t>
      </w:r>
      <w:r w:rsidRPr="002476AA">
        <w:rPr>
          <w:rFonts w:ascii="Times New Roman" w:hAnsi="Times New Roman"/>
          <w:b/>
          <w:sz w:val="24"/>
          <w:szCs w:val="24"/>
        </w:rPr>
        <w:t>comunicación escrita</w:t>
      </w:r>
      <w:r w:rsidRPr="002476AA">
        <w:rPr>
          <w:rFonts w:ascii="Times New Roman" w:hAnsi="Times New Roman"/>
          <w:sz w:val="24"/>
          <w:szCs w:val="24"/>
        </w:rPr>
        <w:t xml:space="preserve">, ni incluyen en los objetivos de las asignaturas propias de la formación ingenieril alguno orientado al aprendizaje de la comunicación escrita. En el Sistema Nacional de Educación Superior Tecnológica en México se contemplan en los planes de estudio de la licenciatura, de Ingeniería Bioquímica, tres asignaturas en donde se requiere de forma explícita que el alumno desarrolle o tenga desarrollada su competencia de comunicación escrita (Fundamentos de investigación, Taller de Investigación I y II) y la secuencia establecidas de estas asignaturas es primer, quinto y sexto semestre. Por tal motivo, en este trabajo se plantea la necesidad de generar secuencias didácticas que permitan al estudiante el desarrollo continuo y sistemático de la comunicación escrita, dichas secuencias también serían un apoyo en la tarea de evaluación del profesor. </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lang w:val="es-MX"/>
        </w:rPr>
      </w:pPr>
      <w:r w:rsidRPr="002476AA">
        <w:rPr>
          <w:rFonts w:ascii="Times New Roman" w:hAnsi="Times New Roman"/>
          <w:sz w:val="24"/>
          <w:szCs w:val="24"/>
        </w:rPr>
        <w:lastRenderedPageBreak/>
        <w:t>La incorporación de una serie de secuencias didácticas para desarrollar la escritura no es complicada, considerando que semestre a semestre el alumno se enfrenta a la tarea de redactar trabajos de investigación. Sin embargo, debemos aceptar que no hay instrumentos de evaluación y cuando los hay son poco sistemáticos y en la mayoría de las veces heterogéneos. Aspecto que confunde al alumno y en un alto porcentaje provoca que éste demerite la actividad de escribir. Es por esto, que es importante desarrollar una serie de secuencias didácticas que homogenicen criterios de evaluación y que brinden las herramientas necesarias al alumno para desarrollar la competencia de comunicación escrita en el contexto de la ingeniería bioquímica. Por lo que el objetivo de este trabajo es presentar en que asignaturas podrían incorporarse una secuencia didáctica que vayan otorgando los elementos necesarios para diseñar los principales escritos académicos e incluye las rubricas de evaluación para cada estilo. Además se presenta a manera de ejemplo la secuencia didáctica para la realización de resúmenes.</w:t>
      </w:r>
    </w:p>
    <w:p w:rsidR="00400642" w:rsidRPr="002476AA" w:rsidRDefault="00400642" w:rsidP="00787E00">
      <w:pPr>
        <w:spacing w:after="0" w:line="360" w:lineRule="auto"/>
        <w:ind w:right="222"/>
        <w:jc w:val="both"/>
        <w:rPr>
          <w:rFonts w:ascii="Times New Roman" w:hAnsi="Times New Roman"/>
          <w:sz w:val="24"/>
          <w:szCs w:val="24"/>
          <w:lang w:val="es-MX"/>
        </w:rPr>
      </w:pPr>
    </w:p>
    <w:p w:rsidR="00400642" w:rsidRPr="002476AA" w:rsidRDefault="006D3F94" w:rsidP="00787E00">
      <w:pPr>
        <w:spacing w:after="0" w:line="360" w:lineRule="auto"/>
        <w:ind w:right="222"/>
        <w:jc w:val="both"/>
        <w:rPr>
          <w:rFonts w:ascii="Times New Roman" w:hAnsi="Times New Roman"/>
          <w:color w:val="7030A0"/>
          <w:sz w:val="24"/>
          <w:szCs w:val="24"/>
        </w:rPr>
      </w:pPr>
      <w:r w:rsidRPr="002476AA">
        <w:rPr>
          <w:rFonts w:ascii="Times New Roman" w:hAnsi="Times New Roman"/>
          <w:color w:val="7030A0"/>
          <w:sz w:val="24"/>
          <w:szCs w:val="24"/>
        </w:rPr>
        <w:t>Desarrollo</w:t>
      </w:r>
    </w:p>
    <w:p w:rsidR="00400642" w:rsidRPr="002476AA" w:rsidRDefault="00400642" w:rsidP="00787E00">
      <w:pPr>
        <w:spacing w:after="0" w:line="360" w:lineRule="auto"/>
        <w:ind w:right="222"/>
        <w:jc w:val="both"/>
        <w:rPr>
          <w:rFonts w:ascii="Times New Roman" w:hAnsi="Times New Roman"/>
          <w:sz w:val="24"/>
          <w:szCs w:val="24"/>
          <w:lang w:val="es-MX"/>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Acuña (1986) define el trabajo escrito como el relato, descripción o explicación de algún hecho o evento, que se da como respuesta a preguntas formuladas en torno a él. Sin embargo, en un sentido más estricto y hablando de los textos académicos, se puede decir, son estudios bibliográficos o de investigación, que deben cumplir con cierta extensión y profundidad, acerca de algún tema en donde se exige un juicio valorativo o una opinión. En el aula los trabajos escritos tradicionalmente se utilizan para evaluar: i) conocimientos acerca de un tema en particular, ii) capacidad para buscar y seleccionar información pertinente a un tópico específico, iii) habilidad para organizar la información y iv) para transmitir los puntos de vista propios del autor. </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Para cumplir con su propósito de evaluación un trabajo escrito de calidad debe cumplir con las siguientes características: </w:t>
      </w:r>
    </w:p>
    <w:p w:rsidR="00400642" w:rsidRPr="002476AA" w:rsidRDefault="00400642" w:rsidP="00787E00">
      <w:pPr>
        <w:tabs>
          <w:tab w:val="left" w:pos="993"/>
        </w:tabs>
        <w:spacing w:after="0" w:line="360" w:lineRule="auto"/>
        <w:ind w:right="222"/>
        <w:jc w:val="both"/>
        <w:rPr>
          <w:rFonts w:ascii="Times New Roman" w:hAnsi="Times New Roman"/>
          <w:sz w:val="24"/>
          <w:szCs w:val="24"/>
        </w:rPr>
      </w:pPr>
      <w:r w:rsidRPr="002476AA">
        <w:rPr>
          <w:rFonts w:ascii="Times New Roman" w:hAnsi="Times New Roman"/>
          <w:sz w:val="24"/>
          <w:szCs w:val="24"/>
        </w:rPr>
        <w:t>a)</w:t>
      </w:r>
      <w:r w:rsidRPr="002476AA">
        <w:rPr>
          <w:rFonts w:ascii="Times New Roman" w:hAnsi="Times New Roman"/>
          <w:sz w:val="24"/>
          <w:szCs w:val="24"/>
        </w:rPr>
        <w:tab/>
        <w:t>Claridad en el texto de manera que el lector entienda lo que el autor desea expresar.</w:t>
      </w:r>
    </w:p>
    <w:p w:rsidR="00400642" w:rsidRPr="002476AA" w:rsidRDefault="00400642" w:rsidP="00787E00">
      <w:pPr>
        <w:tabs>
          <w:tab w:val="left" w:pos="993"/>
        </w:tabs>
        <w:spacing w:after="0" w:line="360" w:lineRule="auto"/>
        <w:ind w:right="222"/>
        <w:jc w:val="both"/>
        <w:rPr>
          <w:rFonts w:ascii="Times New Roman" w:hAnsi="Times New Roman"/>
          <w:sz w:val="24"/>
          <w:szCs w:val="24"/>
        </w:rPr>
      </w:pPr>
      <w:r w:rsidRPr="002476AA">
        <w:rPr>
          <w:rFonts w:ascii="Times New Roman" w:hAnsi="Times New Roman"/>
          <w:sz w:val="24"/>
          <w:szCs w:val="24"/>
        </w:rPr>
        <w:t>b)</w:t>
      </w:r>
      <w:r w:rsidRPr="002476AA">
        <w:rPr>
          <w:rFonts w:ascii="Times New Roman" w:hAnsi="Times New Roman"/>
          <w:sz w:val="24"/>
          <w:szCs w:val="24"/>
        </w:rPr>
        <w:tab/>
        <w:t>Precisión, concretarse sólo a los asuntos más importantes del tema y pasar por alto todo aquello que por ser secundario dificulte la comprensión.</w:t>
      </w:r>
    </w:p>
    <w:p w:rsidR="00400642" w:rsidRPr="002476AA" w:rsidRDefault="00400642" w:rsidP="00787E00">
      <w:pPr>
        <w:tabs>
          <w:tab w:val="left" w:pos="993"/>
        </w:tabs>
        <w:spacing w:after="0" w:line="360" w:lineRule="auto"/>
        <w:ind w:right="222"/>
        <w:jc w:val="both"/>
        <w:rPr>
          <w:rFonts w:ascii="Times New Roman" w:hAnsi="Times New Roman"/>
          <w:sz w:val="24"/>
          <w:szCs w:val="24"/>
        </w:rPr>
      </w:pPr>
      <w:r w:rsidRPr="002476AA">
        <w:rPr>
          <w:rFonts w:ascii="Times New Roman" w:hAnsi="Times New Roman"/>
          <w:sz w:val="24"/>
          <w:szCs w:val="24"/>
        </w:rPr>
        <w:t>c)</w:t>
      </w:r>
      <w:r w:rsidRPr="002476AA">
        <w:rPr>
          <w:rFonts w:ascii="Times New Roman" w:hAnsi="Times New Roman"/>
          <w:sz w:val="24"/>
          <w:szCs w:val="24"/>
        </w:rPr>
        <w:tab/>
        <w:t>Concisión, esto es ser directo, presentar la información pertinente, evitar los rodeos.</w:t>
      </w:r>
    </w:p>
    <w:p w:rsidR="00400642" w:rsidRPr="002476AA" w:rsidRDefault="00400642" w:rsidP="00787E00">
      <w:pPr>
        <w:tabs>
          <w:tab w:val="left" w:pos="993"/>
        </w:tabs>
        <w:spacing w:after="0" w:line="360" w:lineRule="auto"/>
        <w:ind w:right="222"/>
        <w:jc w:val="both"/>
        <w:rPr>
          <w:rFonts w:ascii="Times New Roman" w:hAnsi="Times New Roman"/>
          <w:sz w:val="24"/>
          <w:szCs w:val="24"/>
        </w:rPr>
      </w:pPr>
      <w:r w:rsidRPr="002476AA">
        <w:rPr>
          <w:rFonts w:ascii="Times New Roman" w:hAnsi="Times New Roman"/>
          <w:sz w:val="24"/>
          <w:szCs w:val="24"/>
        </w:rPr>
        <w:lastRenderedPageBreak/>
        <w:t>d)</w:t>
      </w:r>
      <w:r w:rsidRPr="002476AA">
        <w:rPr>
          <w:rFonts w:ascii="Times New Roman" w:hAnsi="Times New Roman"/>
          <w:sz w:val="24"/>
          <w:szCs w:val="24"/>
        </w:rPr>
        <w:tab/>
        <w:t>Razonamiento, fundamentar apreciaciones con datos fidedignos.</w:t>
      </w:r>
    </w:p>
    <w:p w:rsidR="00400642" w:rsidRPr="002476AA" w:rsidRDefault="00400642" w:rsidP="00787E00">
      <w:pPr>
        <w:spacing w:after="0" w:line="360" w:lineRule="auto"/>
        <w:ind w:right="222"/>
        <w:jc w:val="both"/>
        <w:rPr>
          <w:rFonts w:ascii="Times New Roman" w:hAnsi="Times New Roman"/>
          <w:sz w:val="24"/>
          <w:szCs w:val="24"/>
        </w:rPr>
      </w:pP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Para el docente evaluar los elementos anteriores requiere de una buena cantidad de tiempo. Por ejemplo, si se toma en cuenta que la lectura de un texto original (6 a 8 cuartillas, </w:t>
      </w:r>
      <w:proofErr w:type="spellStart"/>
      <w:r w:rsidRPr="002476AA">
        <w:rPr>
          <w:rFonts w:ascii="Times New Roman" w:hAnsi="Times New Roman"/>
          <w:sz w:val="24"/>
          <w:szCs w:val="24"/>
        </w:rPr>
        <w:t>arial</w:t>
      </w:r>
      <w:proofErr w:type="spellEnd"/>
      <w:r w:rsidRPr="002476AA">
        <w:rPr>
          <w:rFonts w:ascii="Times New Roman" w:hAnsi="Times New Roman"/>
          <w:sz w:val="24"/>
          <w:szCs w:val="24"/>
        </w:rPr>
        <w:t xml:space="preserve"> 12 a espacio sencillo, márgenes 2.5 en hoja tamaño carta) puede llevar aproximadamente 1 hora. Por lo </w:t>
      </w:r>
      <w:proofErr w:type="spellStart"/>
      <w:r w:rsidRPr="002476AA">
        <w:rPr>
          <w:rFonts w:ascii="Times New Roman" w:hAnsi="Times New Roman"/>
          <w:sz w:val="24"/>
          <w:szCs w:val="24"/>
        </w:rPr>
        <w:t>enterior</w:t>
      </w:r>
      <w:proofErr w:type="spellEnd"/>
      <w:r w:rsidRPr="002476AA">
        <w:rPr>
          <w:rFonts w:ascii="Times New Roman" w:hAnsi="Times New Roman"/>
          <w:sz w:val="24"/>
          <w:szCs w:val="24"/>
        </w:rPr>
        <w:t xml:space="preserve">, se sugiere que para grupos mayores a 15 alumnos no se solicite más de un escrito por mes, porque de otro modo se vuelve imposible su revisión efectiva. También es importante restringir a 5 el número de trabajos por grupo, pues cuando se atiende a más de un grupo el tiempo de revisión puede resultar inalcanzable. </w:t>
      </w:r>
    </w:p>
    <w:p w:rsidR="00400642" w:rsidRPr="00787E00" w:rsidRDefault="00400642" w:rsidP="00787E00">
      <w:pPr>
        <w:spacing w:after="0" w:line="360" w:lineRule="auto"/>
        <w:ind w:right="222"/>
        <w:jc w:val="both"/>
        <w:rPr>
          <w:rFonts w:cs="Calibri"/>
          <w:sz w:val="24"/>
          <w:szCs w:val="24"/>
        </w:rPr>
      </w:pPr>
      <w:r w:rsidRPr="002476AA">
        <w:rPr>
          <w:rFonts w:ascii="Times New Roman" w:hAnsi="Times New Roman"/>
          <w:sz w:val="24"/>
          <w:szCs w:val="24"/>
        </w:rPr>
        <w:t xml:space="preserve">Otro aspecto a cuidar es el número de textos paralelos que deben realizar los alumnos. Tomando como base las planeaciones mostradas en el cuadro 1, el alumno deberá asignar 3 horas diarias para la conclusión efectiva del texto. Entonces es recomendable que las entregas se calendaricen en las academias para evitar que el alumno tenga que entregar 2 o hasta tres trabajos en la misma semana. Otra alternativa es que el mismo trabajo pueda servir para más de una asignatura, esto también ayuda a que el estudiante pueda integrar el conocimiento adquirido. </w:t>
      </w:r>
    </w:p>
    <w:p w:rsidR="00400642" w:rsidRPr="00787E00" w:rsidRDefault="00400642" w:rsidP="00787E00">
      <w:pPr>
        <w:spacing w:after="0" w:line="360" w:lineRule="auto"/>
        <w:ind w:right="222"/>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tblGrid>
      <w:tr w:rsidR="00400642" w:rsidRPr="00787E00" w:rsidTr="00400642">
        <w:trPr>
          <w:jc w:val="center"/>
        </w:trPr>
        <w:tc>
          <w:tcPr>
            <w:tcW w:w="5699" w:type="dxa"/>
          </w:tcPr>
          <w:p w:rsidR="00400642" w:rsidRPr="00787E00" w:rsidRDefault="00400642" w:rsidP="00787E00">
            <w:pPr>
              <w:pStyle w:val="Prrafodelista"/>
              <w:spacing w:after="0" w:line="360" w:lineRule="auto"/>
              <w:ind w:left="0" w:right="222"/>
              <w:jc w:val="both"/>
              <w:rPr>
                <w:rFonts w:cs="Calibri"/>
                <w:b/>
                <w:sz w:val="24"/>
                <w:szCs w:val="24"/>
              </w:rPr>
            </w:pPr>
            <w:r w:rsidRPr="00787E00">
              <w:rPr>
                <w:rFonts w:cs="Calibri"/>
                <w:b/>
                <w:sz w:val="24"/>
                <w:szCs w:val="24"/>
              </w:rPr>
              <w:t>Tiempo disponible 1 semana</w:t>
            </w:r>
          </w:p>
        </w:tc>
      </w:tr>
      <w:tr w:rsidR="00400642" w:rsidRPr="00787E00" w:rsidTr="00400642">
        <w:trPr>
          <w:jc w:val="center"/>
        </w:trPr>
        <w:tc>
          <w:tcPr>
            <w:tcW w:w="5699" w:type="dxa"/>
          </w:tcPr>
          <w:p w:rsidR="00400642" w:rsidRPr="00787E00" w:rsidRDefault="00400642" w:rsidP="00787E00">
            <w:pPr>
              <w:pStyle w:val="Prrafodelista"/>
              <w:spacing w:after="0" w:line="360" w:lineRule="auto"/>
              <w:ind w:left="0" w:right="222"/>
              <w:jc w:val="both"/>
              <w:rPr>
                <w:rFonts w:cs="Calibri"/>
                <w:sz w:val="24"/>
                <w:szCs w:val="24"/>
              </w:rPr>
            </w:pPr>
            <w:r w:rsidRPr="00787E00">
              <w:rPr>
                <w:rFonts w:cs="Calibri"/>
                <w:sz w:val="24"/>
                <w:szCs w:val="24"/>
              </w:rPr>
              <w:t>1 hora para la planificación</w:t>
            </w:r>
          </w:p>
          <w:p w:rsidR="00400642" w:rsidRPr="00787E00" w:rsidRDefault="00400642" w:rsidP="00787E00">
            <w:pPr>
              <w:pStyle w:val="Prrafodelista"/>
              <w:spacing w:after="0" w:line="360" w:lineRule="auto"/>
              <w:ind w:left="0" w:right="222"/>
              <w:jc w:val="both"/>
              <w:rPr>
                <w:rFonts w:cs="Calibri"/>
                <w:sz w:val="24"/>
                <w:szCs w:val="24"/>
              </w:rPr>
            </w:pPr>
            <w:r w:rsidRPr="00787E00">
              <w:rPr>
                <w:rFonts w:cs="Calibri"/>
                <w:sz w:val="24"/>
                <w:szCs w:val="24"/>
              </w:rPr>
              <w:t>4 horas para la reunión de la información</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4 horas para la generación de ideas y su organización</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3 horas para la escritura del texto</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1 hora para la revisión y discusión de las correcciones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1horas para la transcripción del texto</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1 horas para la lectura del texto final</w:t>
            </w:r>
          </w:p>
        </w:tc>
      </w:tr>
    </w:tbl>
    <w:p w:rsidR="006D3F94" w:rsidRDefault="006D3F94" w:rsidP="00787E00">
      <w:pPr>
        <w:pStyle w:val="Prrafodelista"/>
        <w:tabs>
          <w:tab w:val="left" w:pos="6804"/>
          <w:tab w:val="left" w:pos="7088"/>
        </w:tabs>
        <w:spacing w:after="0" w:line="360" w:lineRule="auto"/>
        <w:ind w:left="0" w:right="222"/>
        <w:jc w:val="both"/>
        <w:rPr>
          <w:rFonts w:cs="Calibri"/>
          <w:b/>
          <w:sz w:val="24"/>
          <w:szCs w:val="24"/>
        </w:rPr>
      </w:pPr>
    </w:p>
    <w:p w:rsidR="00400642" w:rsidRPr="00787E00" w:rsidRDefault="00400642" w:rsidP="006D3F94">
      <w:pPr>
        <w:pStyle w:val="Prrafodelista"/>
        <w:tabs>
          <w:tab w:val="left" w:pos="6804"/>
          <w:tab w:val="left" w:pos="7088"/>
        </w:tabs>
        <w:spacing w:after="0" w:line="360" w:lineRule="auto"/>
        <w:ind w:left="0" w:right="222"/>
        <w:jc w:val="center"/>
        <w:rPr>
          <w:rFonts w:cs="Calibri"/>
          <w:sz w:val="24"/>
          <w:szCs w:val="24"/>
        </w:rPr>
      </w:pPr>
      <w:r w:rsidRPr="00787E00">
        <w:rPr>
          <w:rFonts w:cs="Calibri"/>
          <w:b/>
          <w:sz w:val="24"/>
          <w:szCs w:val="24"/>
        </w:rPr>
        <w:t>Cuadro 1</w:t>
      </w:r>
      <w:r w:rsidRPr="00787E00">
        <w:rPr>
          <w:rFonts w:cs="Calibri"/>
          <w:sz w:val="24"/>
          <w:szCs w:val="24"/>
        </w:rPr>
        <w:t>. Planificación de la escritura de un texto original</w:t>
      </w:r>
    </w:p>
    <w:p w:rsidR="00400642" w:rsidRPr="00787E00" w:rsidRDefault="00400642" w:rsidP="00787E00">
      <w:pPr>
        <w:spacing w:after="0" w:line="360" w:lineRule="auto"/>
        <w:ind w:right="222"/>
        <w:jc w:val="both"/>
        <w:rPr>
          <w:rFonts w:cs="Calibri"/>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lastRenderedPageBreak/>
        <w:t>La organización en la Academia es complicada por las diferentes visiones de los profesores; sin embargo, el trabajo interdisciplinario debe fomentarse y adecuarse si realmente queremos formar profesionales que desarrollen la competencia de la comunicación escritura.</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Para lograr que los trabajos escritos tengan las cuatro características antes mencionadas, es importante tener una didáctica que permita al estudiante adquirir gradualmente la competencia de comunicación escrita. Para transferir de forma efectiva la información es fundamental leer críticamente, analizar y emplear la información para generar textos propios. Este proceso requiere innovar las técnicas de investigación existentes y hace evidente la necesidad de un aprendizaje distinto y permanente (</w:t>
      </w:r>
      <w:proofErr w:type="spellStart"/>
      <w:r w:rsidRPr="002476AA">
        <w:rPr>
          <w:rFonts w:ascii="Times New Roman" w:hAnsi="Times New Roman"/>
          <w:sz w:val="24"/>
          <w:szCs w:val="24"/>
        </w:rPr>
        <w:t>Argudín</w:t>
      </w:r>
      <w:proofErr w:type="spellEnd"/>
      <w:r w:rsidRPr="002476AA">
        <w:rPr>
          <w:rFonts w:ascii="Times New Roman" w:hAnsi="Times New Roman"/>
          <w:sz w:val="24"/>
          <w:szCs w:val="24"/>
        </w:rPr>
        <w:t xml:space="preserve"> y Luna, 2006). </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Surgida de la experiencia en el aula se presenta la propuesta para sistematizar la elaboración de textos originales. Los trabajos escritos que comúnmente elaboran los ingenieros son: resúmenes, ensayos académicos, monografías, proyectos de investigación, reportes científicos, tesis, artículos de divulgación y científicos. En el cuadro 2 se presenta el orden en que se sugiere sean integradas a los planes de estudio las secuencias didácticas para la elaboración de los principales trabajos escritos. El trabajo ininterrumpido garantiza que la competencia sea desarrollada.</w:t>
      </w:r>
    </w:p>
    <w:p w:rsidR="006D3F94" w:rsidRPr="002476AA" w:rsidRDefault="006D3F94" w:rsidP="00787E00">
      <w:pPr>
        <w:spacing w:after="0" w:line="360" w:lineRule="auto"/>
        <w:ind w:right="222"/>
        <w:jc w:val="both"/>
        <w:rPr>
          <w:rFonts w:ascii="Times New Roman" w:hAnsi="Times New Roman"/>
          <w:sz w:val="24"/>
          <w:szCs w:val="24"/>
        </w:rPr>
      </w:pPr>
    </w:p>
    <w:p w:rsidR="00400642" w:rsidRPr="00787E00" w:rsidRDefault="00400642" w:rsidP="00787E00">
      <w:pPr>
        <w:spacing w:after="0" w:line="360" w:lineRule="auto"/>
        <w:ind w:right="222"/>
        <w:jc w:val="both"/>
        <w:rPr>
          <w:rFonts w:cs="Calibri"/>
          <w:sz w:val="24"/>
          <w:szCs w:val="24"/>
        </w:rPr>
      </w:pPr>
      <w:r w:rsidRPr="002476AA">
        <w:rPr>
          <w:rFonts w:ascii="Times New Roman" w:hAnsi="Times New Roman"/>
          <w:sz w:val="24"/>
          <w:szCs w:val="24"/>
        </w:rPr>
        <w:t>En este trabajo se presentan la secuencia didáctica para la elaboración de resúmenes.</w:t>
      </w:r>
    </w:p>
    <w:p w:rsidR="00400642" w:rsidRPr="00787E00" w:rsidRDefault="00400642" w:rsidP="00787E00">
      <w:pPr>
        <w:spacing w:after="0" w:line="360" w:lineRule="auto"/>
        <w:ind w:right="222"/>
        <w:jc w:val="both"/>
        <w:rPr>
          <w:rFonts w:cs="Calibri"/>
          <w:sz w:val="24"/>
          <w:szCs w:val="24"/>
        </w:rPr>
      </w:pPr>
    </w:p>
    <w:p w:rsidR="00400642" w:rsidRPr="00787E00" w:rsidRDefault="00465457" w:rsidP="00787E00">
      <w:pPr>
        <w:spacing w:after="0" w:line="360" w:lineRule="auto"/>
        <w:ind w:right="222"/>
        <w:jc w:val="both"/>
        <w:rPr>
          <w:rFonts w:cs="Calibri"/>
          <w:sz w:val="24"/>
          <w:szCs w:val="24"/>
        </w:rPr>
      </w:pPr>
      <w:r>
        <w:rPr>
          <w:rFonts w:cs="Calibri"/>
          <w:noProof/>
          <w:sz w:val="24"/>
          <w:szCs w:val="24"/>
          <w:lang w:eastAsia="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6" type="#_x0000_t75" style="width:420pt;height:355.5pt;visibility:visible">
            <v:imagedata r:id="rId8" o:title=""/>
          </v:shape>
        </w:pict>
      </w: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b/>
          <w:sz w:val="24"/>
          <w:szCs w:val="24"/>
        </w:rPr>
        <w:t>Cuadro 2.</w:t>
      </w:r>
      <w:r w:rsidRPr="002476AA">
        <w:rPr>
          <w:rFonts w:ascii="Times New Roman" w:hAnsi="Times New Roman"/>
          <w:sz w:val="24"/>
          <w:szCs w:val="24"/>
        </w:rPr>
        <w:t xml:space="preserve"> Propuesta de integración de secuencias didácticas para el desarrollo de la competencia de comunicación escrita en la carrera de Ingeniería Bioquímica.</w:t>
      </w:r>
    </w:p>
    <w:p w:rsidR="00400642" w:rsidRPr="002476AA" w:rsidRDefault="00400642" w:rsidP="00787E00">
      <w:pPr>
        <w:spacing w:after="0" w:line="360" w:lineRule="auto"/>
        <w:ind w:right="222"/>
        <w:jc w:val="both"/>
        <w:rPr>
          <w:rFonts w:ascii="Times New Roman" w:hAnsi="Times New Roman"/>
          <w:sz w:val="24"/>
          <w:szCs w:val="24"/>
        </w:rPr>
      </w:pPr>
    </w:p>
    <w:p w:rsidR="006D3F94" w:rsidRPr="002476AA" w:rsidRDefault="00400642" w:rsidP="00787E00">
      <w:pPr>
        <w:spacing w:after="0" w:line="360" w:lineRule="auto"/>
        <w:ind w:right="222"/>
        <w:jc w:val="both"/>
        <w:rPr>
          <w:rFonts w:ascii="Times New Roman" w:hAnsi="Times New Roman"/>
          <w:b/>
          <w:sz w:val="24"/>
          <w:szCs w:val="24"/>
        </w:rPr>
      </w:pPr>
      <w:r w:rsidRPr="002476AA">
        <w:rPr>
          <w:rFonts w:ascii="Times New Roman" w:hAnsi="Times New Roman"/>
          <w:b/>
          <w:sz w:val="24"/>
          <w:szCs w:val="24"/>
        </w:rPr>
        <w:t>Secuencia didáctica para la elaboración de resúmenes</w:t>
      </w:r>
    </w:p>
    <w:p w:rsidR="006D3F94" w:rsidRPr="002476AA" w:rsidRDefault="006D3F94" w:rsidP="00787E00">
      <w:pPr>
        <w:spacing w:after="0" w:line="360" w:lineRule="auto"/>
        <w:ind w:right="222"/>
        <w:jc w:val="both"/>
        <w:rPr>
          <w:rFonts w:ascii="Times New Roman" w:hAnsi="Times New Roman"/>
          <w:b/>
          <w:sz w:val="24"/>
          <w:szCs w:val="24"/>
        </w:rPr>
      </w:pPr>
    </w:p>
    <w:p w:rsidR="00400642" w:rsidRPr="002476AA" w:rsidRDefault="00400642" w:rsidP="00787E00">
      <w:pPr>
        <w:spacing w:after="0" w:line="360" w:lineRule="auto"/>
        <w:ind w:right="222"/>
        <w:jc w:val="both"/>
        <w:rPr>
          <w:rFonts w:ascii="Times New Roman" w:hAnsi="Times New Roman"/>
          <w:b/>
          <w:sz w:val="24"/>
          <w:szCs w:val="24"/>
        </w:rPr>
      </w:pPr>
      <w:r w:rsidRPr="002476AA">
        <w:rPr>
          <w:rFonts w:ascii="Times New Roman" w:hAnsi="Times New Roman"/>
          <w:b/>
          <w:sz w:val="24"/>
          <w:szCs w:val="24"/>
        </w:rPr>
        <w:t>Propósito</w:t>
      </w:r>
      <w:r w:rsidRPr="002476AA">
        <w:rPr>
          <w:rFonts w:ascii="Times New Roman" w:hAnsi="Times New Roman"/>
          <w:sz w:val="24"/>
          <w:szCs w:val="24"/>
        </w:rPr>
        <w:t>. Desarrollar la capacidad de redactar resúmenes a partir de textos técnicos y científicos.</w:t>
      </w:r>
    </w:p>
    <w:p w:rsidR="006D3F94" w:rsidRPr="002476AA" w:rsidRDefault="006D3F94" w:rsidP="00787E00">
      <w:pPr>
        <w:spacing w:after="0" w:line="360" w:lineRule="auto"/>
        <w:ind w:right="222"/>
        <w:jc w:val="both"/>
        <w:rPr>
          <w:rFonts w:ascii="Times New Roman" w:hAnsi="Times New Roman"/>
          <w:b/>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b/>
          <w:sz w:val="24"/>
          <w:szCs w:val="24"/>
        </w:rPr>
        <w:t xml:space="preserve">Fase </w:t>
      </w:r>
      <w:proofErr w:type="spellStart"/>
      <w:r w:rsidRPr="002476AA">
        <w:rPr>
          <w:rFonts w:ascii="Times New Roman" w:hAnsi="Times New Roman"/>
          <w:b/>
          <w:sz w:val="24"/>
          <w:szCs w:val="24"/>
        </w:rPr>
        <w:t>preactiva</w:t>
      </w:r>
      <w:proofErr w:type="spellEnd"/>
      <w:r w:rsidRPr="002476AA">
        <w:rPr>
          <w:rFonts w:ascii="Times New Roman" w:hAnsi="Times New Roman"/>
          <w:sz w:val="24"/>
          <w:szCs w:val="24"/>
        </w:rPr>
        <w:t xml:space="preserve">. Durante esta etapa, que es de planificación, el docente debe elegir las lecturas que servirán para la realización de resúmenes. Es conveniente empezar con textos cortos (una cuartilla) e ir aumentando paulatinamente el número de palabras por texto. Los temas deben estar orientados a los tópicos incluidos en el plan de asignatura. El establecimiento de los tiempos de duración de cada actividad, es sin duda la tarea más complicada, ya que los tiempos dedicados para leer los textos </w:t>
      </w:r>
      <w:r w:rsidRPr="002476AA">
        <w:rPr>
          <w:rFonts w:ascii="Times New Roman" w:hAnsi="Times New Roman"/>
          <w:sz w:val="24"/>
          <w:szCs w:val="24"/>
        </w:rPr>
        <w:lastRenderedPageBreak/>
        <w:t xml:space="preserve">originales dependerán de la habilidad lectora de los estudiantes. Sin embargo, es posible establecer los tiempos después de realizar una evaluación diagnóstica de las competencias lectoras. El trabajo en grupo nos ha permitido establecer que el tiempo que destina un estudiante, de los primeros semestres, en leer una cuartilla, es de 20 minutos en promedio, pasado este tiempo entonces inicia las actividades que se le plantean para la realización de resúmenes. </w:t>
      </w:r>
    </w:p>
    <w:p w:rsidR="006D3F94" w:rsidRPr="002476AA" w:rsidRDefault="006D3F94" w:rsidP="00787E00">
      <w:pPr>
        <w:spacing w:after="0" w:line="360" w:lineRule="auto"/>
        <w:ind w:right="222"/>
        <w:jc w:val="both"/>
        <w:rPr>
          <w:rFonts w:ascii="Times New Roman" w:hAnsi="Times New Roman"/>
          <w:b/>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b/>
          <w:sz w:val="24"/>
          <w:szCs w:val="24"/>
        </w:rPr>
        <w:t>Fase proactiva</w:t>
      </w:r>
      <w:r w:rsidRPr="002476AA">
        <w:rPr>
          <w:rFonts w:ascii="Times New Roman" w:hAnsi="Times New Roman"/>
          <w:sz w:val="24"/>
          <w:szCs w:val="24"/>
        </w:rPr>
        <w:t xml:space="preserve">. </w:t>
      </w:r>
    </w:p>
    <w:p w:rsidR="00400642" w:rsidRPr="002476AA" w:rsidRDefault="00400642" w:rsidP="00787E00">
      <w:pPr>
        <w:spacing w:after="0" w:line="360" w:lineRule="auto"/>
        <w:ind w:right="222"/>
        <w:jc w:val="both"/>
        <w:rPr>
          <w:rFonts w:ascii="Times New Roman" w:hAnsi="Times New Roman"/>
          <w:i/>
          <w:sz w:val="24"/>
          <w:szCs w:val="24"/>
        </w:rPr>
      </w:pPr>
      <w:r w:rsidRPr="002476AA">
        <w:rPr>
          <w:rFonts w:ascii="Times New Roman" w:hAnsi="Times New Roman"/>
          <w:i/>
          <w:sz w:val="24"/>
          <w:szCs w:val="24"/>
        </w:rPr>
        <w:t>Presentación del tema:</w:t>
      </w:r>
    </w:p>
    <w:p w:rsidR="00400642" w:rsidRPr="002476AA" w:rsidRDefault="00400642" w:rsidP="00787E00">
      <w:pPr>
        <w:spacing w:after="0" w:line="360" w:lineRule="auto"/>
        <w:ind w:right="222"/>
        <w:jc w:val="both"/>
        <w:rPr>
          <w:rFonts w:ascii="Times New Roman" w:hAnsi="Times New Roman"/>
          <w:i/>
          <w:sz w:val="24"/>
          <w:szCs w:val="24"/>
        </w:rPr>
      </w:pPr>
      <w:r w:rsidRPr="002476AA">
        <w:rPr>
          <w:rFonts w:ascii="Times New Roman" w:hAnsi="Times New Roman"/>
          <w:i/>
          <w:sz w:val="24"/>
          <w:szCs w:val="24"/>
        </w:rPr>
        <w:t>El resumen académico es una versión condensada de un texto particular que se genera para fines de evaluación o estudio. Dado que el resumen debe presentar las ideas principales del documento original, puede utilizarse como una herramienta de estudio, que es más fácil de consultar debido a su extensión. Por otra parte, también puede funcionar como un indicador de la capacidad de análisis y síntesis del lector. Su extensión es variada y depende básicamente de la del documento consultado.</w:t>
      </w:r>
    </w:p>
    <w:p w:rsidR="006D3F94" w:rsidRPr="002476AA" w:rsidRDefault="006D3F94" w:rsidP="00787E00">
      <w:pPr>
        <w:spacing w:after="0" w:line="360" w:lineRule="auto"/>
        <w:ind w:right="222"/>
        <w:jc w:val="both"/>
        <w:rPr>
          <w:rFonts w:ascii="Times New Roman" w:hAnsi="Times New Roman"/>
          <w:i/>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Durante la presentación el docente debe lograr motivar a los estudiantes, haciéndoles ver la importancia de saber resumir, creando expectativas positivas:</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—Es la herramienta más eficiente para iniciar el estudio de algún tópico particular. </w:t>
      </w:r>
      <w:r w:rsidRPr="002476AA">
        <w:rPr>
          <w:rFonts w:ascii="Times New Roman" w:hAnsi="Times New Roman"/>
          <w:sz w:val="24"/>
          <w:szCs w:val="24"/>
        </w:rPr>
        <w:tab/>
        <w:t xml:space="preserve">Inicialmente puede ser que la única motivación del estudiante sea aprobar la materia, entonces el recalcar que los resúmenes son la mejor herramienta para preparar un examen, podría despertar su interés. No se debe perder de vista que encontrar las frases motivadoras no es una tarea </w:t>
      </w:r>
      <w:proofErr w:type="spellStart"/>
      <w:r w:rsidRPr="002476AA">
        <w:rPr>
          <w:rFonts w:ascii="Times New Roman" w:hAnsi="Times New Roman"/>
          <w:sz w:val="24"/>
          <w:szCs w:val="24"/>
        </w:rPr>
        <w:t>defícil</w:t>
      </w:r>
      <w:proofErr w:type="spellEnd"/>
      <w:r w:rsidRPr="002476AA">
        <w:rPr>
          <w:rFonts w:ascii="Times New Roman" w:hAnsi="Times New Roman"/>
          <w:sz w:val="24"/>
          <w:szCs w:val="24"/>
        </w:rPr>
        <w:t xml:space="preserve">: una de las principales dificultades del proceso enseñanza-aprendizaje es acercar la lógica del docente a la concepción de quien se encuentra en situación de aprender. </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i/>
          <w:sz w:val="24"/>
          <w:szCs w:val="24"/>
        </w:rPr>
      </w:pPr>
      <w:r w:rsidRPr="002476AA">
        <w:rPr>
          <w:rFonts w:ascii="Times New Roman" w:hAnsi="Times New Roman"/>
          <w:i/>
          <w:sz w:val="24"/>
          <w:szCs w:val="24"/>
        </w:rPr>
        <w:tab/>
        <w:t>Evaluación inicial (diagnóstica):</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6D3F94"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L</w:t>
      </w:r>
      <w:r w:rsidR="00400642" w:rsidRPr="002476AA">
        <w:rPr>
          <w:rFonts w:ascii="Times New Roman" w:hAnsi="Times New Roman"/>
          <w:sz w:val="24"/>
          <w:szCs w:val="24"/>
        </w:rPr>
        <w:t>a mejor evaluación diagnóstica es solicitar al estudiante realice el resumen de un texto que no tenga una extensión mayor a una cuartilla. Esta evaluación nos permite identificar el punto de partida del proceso de aprendizaje y pronosticar qué de la planeación es necesario modificar.</w:t>
      </w: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lastRenderedPageBreak/>
        <w:t>Durante la evaluación diagnóstica es necesario llevar un registro de los tiempos utilizados por cada uno de los alumnos, para poder obtener un promedio y su desviación estándar, con la finalidad de relacionar la “calidad del resumen” con el tiempo utilizado.</w:t>
      </w:r>
    </w:p>
    <w:p w:rsidR="006D3F94" w:rsidRPr="002476AA" w:rsidRDefault="006D3F94" w:rsidP="00787E00">
      <w:pPr>
        <w:spacing w:after="0" w:line="360" w:lineRule="auto"/>
        <w:ind w:right="222"/>
        <w:jc w:val="both"/>
        <w:rPr>
          <w:rFonts w:ascii="Times New Roman" w:hAnsi="Times New Roman"/>
          <w:sz w:val="24"/>
          <w:szCs w:val="24"/>
        </w:rPr>
      </w:pPr>
    </w:p>
    <w:p w:rsidR="006D3F94" w:rsidRPr="002476AA" w:rsidRDefault="00400642" w:rsidP="00787E00">
      <w:pPr>
        <w:spacing w:after="0" w:line="360" w:lineRule="auto"/>
        <w:ind w:right="222"/>
        <w:jc w:val="both"/>
        <w:rPr>
          <w:rFonts w:ascii="Times New Roman" w:hAnsi="Times New Roman"/>
          <w:i/>
          <w:sz w:val="24"/>
          <w:szCs w:val="24"/>
        </w:rPr>
      </w:pPr>
      <w:r w:rsidRPr="002476AA">
        <w:rPr>
          <w:rFonts w:ascii="Times New Roman" w:hAnsi="Times New Roman"/>
          <w:i/>
          <w:sz w:val="24"/>
          <w:szCs w:val="24"/>
        </w:rPr>
        <w:t>Fase de aprendizaje</w:t>
      </w: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Para dirigir la elaboración de resúmenes académicos se sugieren las actividades de la Tabla 1. En cada actividad se establece un momento de evaluación que debe permitirnos: a) ir detectando los errores que comúnmente se cometen, b) ayudar a los estudiantes a comprender que los errores en el ámbito del aprendizaje surgen siempre y que identificarlos es mejor que intentar esconderlos, c) detectar los obstáculos que dificultan el aprendizaje, d) identificar las estrategias que ayudan al aprendizaje, e) destacar los aciertos de los estudiantes para reforzar su aprendizaje.</w:t>
      </w:r>
    </w:p>
    <w:p w:rsidR="00400642" w:rsidRPr="002476AA" w:rsidRDefault="00400642"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i/>
          <w:sz w:val="24"/>
          <w:szCs w:val="24"/>
        </w:rPr>
      </w:pPr>
      <w:r w:rsidRPr="002476AA">
        <w:rPr>
          <w:rFonts w:ascii="Times New Roman" w:hAnsi="Times New Roman"/>
          <w:i/>
          <w:sz w:val="24"/>
          <w:szCs w:val="24"/>
        </w:rPr>
        <w:t>Fase de cierre.</w:t>
      </w:r>
    </w:p>
    <w:p w:rsidR="00400642" w:rsidRDefault="00400642" w:rsidP="00787E00">
      <w:pPr>
        <w:spacing w:after="0" w:line="360" w:lineRule="auto"/>
        <w:ind w:right="222"/>
        <w:jc w:val="both"/>
        <w:rPr>
          <w:rFonts w:cs="Calibri"/>
          <w:sz w:val="24"/>
          <w:szCs w:val="24"/>
        </w:rPr>
      </w:pPr>
      <w:r w:rsidRPr="002476AA">
        <w:rPr>
          <w:rFonts w:ascii="Times New Roman" w:hAnsi="Times New Roman"/>
          <w:sz w:val="24"/>
          <w:szCs w:val="24"/>
        </w:rPr>
        <w:t>El cierre debe ser la realización individual de un resumen, se recomienda se haga en el salón de clase sobre un mismo documento (esto facilita la evaluación). Es importante que antes del cierre se dé a conocer al estudiante la rúbrica de evaluación y discutirla suficientemente para evitar confusiones. La rúbrica propuesta se muestra en el cuadro 3.</w:t>
      </w:r>
    </w:p>
    <w:p w:rsidR="006D3F94" w:rsidRDefault="006D3F94"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6D3F94" w:rsidRDefault="006D3F94" w:rsidP="00787E00">
      <w:pPr>
        <w:spacing w:after="0" w:line="360" w:lineRule="auto"/>
        <w:ind w:right="222"/>
        <w:jc w:val="both"/>
        <w:rPr>
          <w:rFonts w:cs="Calibri"/>
          <w:sz w:val="24"/>
          <w:szCs w:val="24"/>
        </w:rPr>
      </w:pPr>
    </w:p>
    <w:p w:rsidR="006D3F94" w:rsidRDefault="006D3F94" w:rsidP="00787E00">
      <w:pPr>
        <w:spacing w:after="0" w:line="360" w:lineRule="auto"/>
        <w:ind w:right="222"/>
        <w:jc w:val="both"/>
        <w:rPr>
          <w:rFonts w:cs="Calibri"/>
          <w:sz w:val="24"/>
          <w:szCs w:val="24"/>
        </w:rPr>
      </w:pPr>
    </w:p>
    <w:p w:rsidR="006D3F94" w:rsidRPr="00787E00" w:rsidRDefault="006D3F94" w:rsidP="00787E00">
      <w:pPr>
        <w:spacing w:after="0" w:line="360" w:lineRule="auto"/>
        <w:ind w:right="222"/>
        <w:jc w:val="both"/>
        <w:rPr>
          <w:rFonts w:cs="Calibri"/>
          <w:sz w:val="24"/>
          <w:szCs w:val="24"/>
        </w:rPr>
      </w:pPr>
    </w:p>
    <w:p w:rsidR="00400642" w:rsidRPr="00787E00" w:rsidRDefault="00400642" w:rsidP="00787E00">
      <w:pPr>
        <w:spacing w:after="0" w:line="360" w:lineRule="auto"/>
        <w:ind w:right="222" w:firstLine="567"/>
        <w:jc w:val="both"/>
        <w:rPr>
          <w:rFonts w:cs="Calibri"/>
          <w:sz w:val="24"/>
          <w:szCs w:val="24"/>
        </w:rPr>
      </w:pPr>
      <w:r w:rsidRPr="00787E00">
        <w:rPr>
          <w:rFonts w:cs="Calibri"/>
          <w:b/>
          <w:sz w:val="24"/>
          <w:szCs w:val="24"/>
        </w:rPr>
        <w:lastRenderedPageBreak/>
        <w:t>Tabla 1</w:t>
      </w:r>
      <w:r w:rsidRPr="00787E00">
        <w:rPr>
          <w:rFonts w:cs="Calibri"/>
          <w:sz w:val="24"/>
          <w:szCs w:val="24"/>
        </w:rPr>
        <w:t xml:space="preserve">. Actividades para la elaboración de resúmenes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3915"/>
      </w:tblGrid>
      <w:tr w:rsidR="00787E00" w:rsidRPr="00787E00" w:rsidTr="00400642">
        <w:tc>
          <w:tcPr>
            <w:tcW w:w="4747" w:type="dxa"/>
            <w:tcBorders>
              <w:left w:val="nil"/>
              <w:bottom w:val="single" w:sz="4" w:space="0" w:color="auto"/>
              <w:right w:val="nil"/>
            </w:tcBorders>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Actividad</w:t>
            </w:r>
          </w:p>
        </w:tc>
        <w:tc>
          <w:tcPr>
            <w:tcW w:w="3915" w:type="dxa"/>
            <w:tcBorders>
              <w:left w:val="nil"/>
              <w:bottom w:val="single" w:sz="4" w:space="0" w:color="auto"/>
              <w:right w:val="nil"/>
            </w:tcBorders>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Momentos de evaluación</w:t>
            </w:r>
          </w:p>
        </w:tc>
      </w:tr>
      <w:tr w:rsidR="00400642" w:rsidRPr="00787E00" w:rsidTr="00400642">
        <w:tc>
          <w:tcPr>
            <w:tcW w:w="4747" w:type="dxa"/>
            <w:tcBorders>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Leer el título y realizar una lectura rápida para tener una primera aproximación de lo que se va a estudiar.</w:t>
            </w:r>
          </w:p>
          <w:p w:rsidR="00400642" w:rsidRPr="00787E00" w:rsidRDefault="00400642" w:rsidP="00787E00">
            <w:pPr>
              <w:spacing w:after="0" w:line="360" w:lineRule="auto"/>
              <w:ind w:right="222"/>
              <w:jc w:val="both"/>
              <w:rPr>
                <w:rFonts w:cs="Calibri"/>
                <w:sz w:val="24"/>
                <w:szCs w:val="24"/>
              </w:rPr>
            </w:pPr>
          </w:p>
        </w:tc>
        <w:tc>
          <w:tcPr>
            <w:tcW w:w="3915" w:type="dxa"/>
            <w:tcBorders>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Escribe al menos tres palabras claves con las que puedas relacionar el texto</w:t>
            </w:r>
          </w:p>
        </w:tc>
      </w:tr>
      <w:tr w:rsidR="00400642" w:rsidRPr="00787E00" w:rsidTr="00400642">
        <w:tc>
          <w:tcPr>
            <w:tcW w:w="4747"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 xml:space="preserve">Realizar una lectura comprensiva y analítica del texto. Si se encuentra un párrafo que no se logra entender, no es conveniente seguir adelante, sino releerlo hasta lograr una completa comprensión </w:t>
            </w:r>
          </w:p>
          <w:p w:rsidR="00400642" w:rsidRPr="00787E00" w:rsidRDefault="00400642" w:rsidP="00787E00">
            <w:pPr>
              <w:spacing w:after="0" w:line="360" w:lineRule="auto"/>
              <w:ind w:right="222"/>
              <w:jc w:val="both"/>
              <w:rPr>
                <w:rFonts w:cs="Calibri"/>
                <w:sz w:val="24"/>
                <w:szCs w:val="24"/>
              </w:rPr>
            </w:pPr>
          </w:p>
        </w:tc>
        <w:tc>
          <w:tcPr>
            <w:tcW w:w="3915"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¿Qué quiere el autor que comprendas?</w:t>
            </w:r>
          </w:p>
          <w:p w:rsidR="00400642" w:rsidRPr="00787E00" w:rsidRDefault="00400642" w:rsidP="00787E00">
            <w:pPr>
              <w:spacing w:after="0" w:line="360" w:lineRule="auto"/>
              <w:ind w:right="222"/>
              <w:jc w:val="both"/>
              <w:rPr>
                <w:rFonts w:cs="Calibri"/>
                <w:sz w:val="24"/>
                <w:szCs w:val="24"/>
              </w:rPr>
            </w:pPr>
          </w:p>
        </w:tc>
      </w:tr>
      <w:tr w:rsidR="00400642" w:rsidRPr="00787E00" w:rsidTr="00400642">
        <w:tc>
          <w:tcPr>
            <w:tcW w:w="4747"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Identificar y subrayar las ideas principales y los datos que aporten información para retomarlos en el nuevo texto. Es aconsejable que las ideas subrayadas en el texto original equivalgan a un 20% de la extensión de éste.</w:t>
            </w:r>
          </w:p>
          <w:p w:rsidR="00400642" w:rsidRPr="00787E00" w:rsidRDefault="00400642" w:rsidP="00787E00">
            <w:pPr>
              <w:spacing w:after="0" w:line="360" w:lineRule="auto"/>
              <w:ind w:right="222"/>
              <w:jc w:val="both"/>
              <w:rPr>
                <w:rFonts w:cs="Calibri"/>
                <w:sz w:val="24"/>
                <w:szCs w:val="24"/>
              </w:rPr>
            </w:pPr>
          </w:p>
        </w:tc>
        <w:tc>
          <w:tcPr>
            <w:tcW w:w="3915"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Determinar el porcentaje de ideas principales que el estudiante subrayó con respecto al total en el documento</w:t>
            </w:r>
          </w:p>
        </w:tc>
      </w:tr>
      <w:tr w:rsidR="00400642" w:rsidRPr="00787E00" w:rsidTr="00400642">
        <w:tc>
          <w:tcPr>
            <w:tcW w:w="4747"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Leer lo que se subrayó y comprobar que las frases elegidas tengan sentido.</w:t>
            </w:r>
          </w:p>
        </w:tc>
        <w:tc>
          <w:tcPr>
            <w:tcW w:w="3915"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Transcribe solo las ideas principales, lee el documento ¿tiene sentido?</w:t>
            </w:r>
          </w:p>
          <w:p w:rsidR="00400642" w:rsidRPr="00787E00" w:rsidRDefault="00400642" w:rsidP="00787E00">
            <w:pPr>
              <w:spacing w:after="0" w:line="360" w:lineRule="auto"/>
              <w:ind w:right="222"/>
              <w:jc w:val="both"/>
              <w:rPr>
                <w:rFonts w:cs="Calibri"/>
                <w:sz w:val="24"/>
                <w:szCs w:val="24"/>
              </w:rPr>
            </w:pPr>
          </w:p>
        </w:tc>
      </w:tr>
      <w:tr w:rsidR="00400642" w:rsidRPr="00787E00" w:rsidTr="00400642">
        <w:tc>
          <w:tcPr>
            <w:tcW w:w="4747"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 xml:space="preserve">Para reducir la información, se pueden utilizar las siguientes reglas (Moreno et al. 2010): i) Supresión: eliminar los ejemplos, ii) Generalización: reemplazar varios </w:t>
            </w:r>
            <w:r w:rsidRPr="00787E00">
              <w:rPr>
                <w:rFonts w:cs="Calibri"/>
                <w:sz w:val="24"/>
                <w:szCs w:val="24"/>
              </w:rPr>
              <w:lastRenderedPageBreak/>
              <w:t>enunciados por un término que los generalice. iii) Construcción: fundir en uno o dos conceptos una secuencia de actividades.</w:t>
            </w:r>
          </w:p>
          <w:p w:rsidR="00400642" w:rsidRPr="00787E00" w:rsidRDefault="00400642" w:rsidP="00787E00">
            <w:pPr>
              <w:spacing w:after="0" w:line="360" w:lineRule="auto"/>
              <w:ind w:right="222"/>
              <w:jc w:val="both"/>
              <w:rPr>
                <w:rFonts w:cs="Calibri"/>
                <w:sz w:val="24"/>
                <w:szCs w:val="24"/>
              </w:rPr>
            </w:pPr>
          </w:p>
        </w:tc>
        <w:tc>
          <w:tcPr>
            <w:tcW w:w="3915" w:type="dxa"/>
            <w:tcBorders>
              <w:top w:val="nil"/>
              <w:left w:val="nil"/>
              <w:bottom w:val="nil"/>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lastRenderedPageBreak/>
              <w:t>Solicitar al estudiante identifique en su texto oraciones en las que se pueda aplicar: la supresión, generalización o la construcción</w:t>
            </w:r>
          </w:p>
        </w:tc>
      </w:tr>
      <w:tr w:rsidR="00787E00" w:rsidRPr="00787E00" w:rsidTr="00400642">
        <w:tc>
          <w:tcPr>
            <w:tcW w:w="4747" w:type="dxa"/>
            <w:tcBorders>
              <w:top w:val="nil"/>
              <w:left w:val="nil"/>
              <w:bottom w:val="single" w:sz="4" w:space="0" w:color="auto"/>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Redactar el texto. Es importante no limitar el uso de elementos de enlace, que ayudan al lector a entender el texto, además de emplear correctamente los signos de puntuación para dar claridad al nuevo texto.</w:t>
            </w:r>
          </w:p>
        </w:tc>
        <w:tc>
          <w:tcPr>
            <w:tcW w:w="3915" w:type="dxa"/>
            <w:tcBorders>
              <w:top w:val="nil"/>
              <w:left w:val="nil"/>
              <w:bottom w:val="single" w:sz="4" w:space="0" w:color="auto"/>
              <w:right w:val="nil"/>
            </w:tcBorders>
          </w:tcPr>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¿El documento es fácil y claro de leer?</w:t>
            </w:r>
          </w:p>
        </w:tc>
      </w:tr>
    </w:tbl>
    <w:p w:rsidR="00400642" w:rsidRPr="00787E00" w:rsidRDefault="00400642" w:rsidP="00787E00">
      <w:pPr>
        <w:spacing w:after="0" w:line="360" w:lineRule="auto"/>
        <w:ind w:right="222"/>
        <w:jc w:val="both"/>
        <w:rPr>
          <w:rFonts w:cs="Calibri"/>
          <w:sz w:val="24"/>
          <w:szCs w:val="24"/>
        </w:rPr>
      </w:pPr>
    </w:p>
    <w:p w:rsidR="006D3F94" w:rsidRDefault="006D3F94" w:rsidP="00787E00">
      <w:pPr>
        <w:spacing w:after="0" w:line="360" w:lineRule="auto"/>
        <w:ind w:right="222"/>
        <w:jc w:val="both"/>
        <w:rPr>
          <w:rFonts w:cs="Calibri"/>
          <w:sz w:val="24"/>
          <w:szCs w:val="24"/>
        </w:rPr>
      </w:pPr>
    </w:p>
    <w:p w:rsidR="00400642" w:rsidRPr="00787E00" w:rsidRDefault="00400642" w:rsidP="00787E00">
      <w:pPr>
        <w:spacing w:after="0" w:line="360" w:lineRule="auto"/>
        <w:ind w:right="222"/>
        <w:jc w:val="both"/>
        <w:rPr>
          <w:rFonts w:cs="Calibri"/>
          <w:sz w:val="24"/>
          <w:szCs w:val="24"/>
        </w:rPr>
      </w:pPr>
      <w:r w:rsidRPr="00787E00">
        <w:rPr>
          <w:rFonts w:cs="Calibri"/>
          <w:b/>
          <w:sz w:val="24"/>
          <w:szCs w:val="24"/>
        </w:rPr>
        <w:t>Cuadro 3.</w:t>
      </w:r>
      <w:r w:rsidRPr="00787E00">
        <w:rPr>
          <w:rFonts w:cs="Calibri"/>
          <w:sz w:val="24"/>
          <w:szCs w:val="24"/>
        </w:rPr>
        <w:t xml:space="preserve"> Rúbrica, se sugiere emplear libros que traten temas fundamentales para la carrera de Ingeniería Bioquímica o revistas mexicanas de divulgación científica y tecnológica. </w:t>
      </w:r>
    </w:p>
    <w:tbl>
      <w:tblPr>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96"/>
        <w:gridCol w:w="1961"/>
        <w:gridCol w:w="2129"/>
        <w:gridCol w:w="2147"/>
      </w:tblGrid>
      <w:tr w:rsidR="00787E00" w:rsidRPr="00787E00" w:rsidTr="00400642">
        <w:tc>
          <w:tcPr>
            <w:tcW w:w="873" w:type="pct"/>
            <w:vMerge w:val="restart"/>
            <w:shd w:val="clear" w:color="auto" w:fill="auto"/>
            <w:vAlign w:val="center"/>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Criterio de Evaluación</w:t>
            </w:r>
          </w:p>
        </w:tc>
        <w:tc>
          <w:tcPr>
            <w:tcW w:w="4127" w:type="pct"/>
            <w:gridSpan w:val="4"/>
            <w:tcBorders>
              <w:left w:val="single" w:sz="4" w:space="0" w:color="auto"/>
              <w:bottom w:val="single" w:sz="4" w:space="0" w:color="auto"/>
            </w:tcBorders>
            <w:shd w:val="clear" w:color="auto" w:fill="auto"/>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Niveles de Ejecución.</w:t>
            </w:r>
          </w:p>
        </w:tc>
      </w:tr>
      <w:tr w:rsidR="00400642" w:rsidRPr="00787E00" w:rsidTr="00400642">
        <w:tc>
          <w:tcPr>
            <w:tcW w:w="873" w:type="pct"/>
            <w:vMerge/>
            <w:shd w:val="clear" w:color="auto" w:fill="auto"/>
          </w:tcPr>
          <w:p w:rsidR="00400642" w:rsidRPr="00787E00" w:rsidRDefault="00400642" w:rsidP="00787E00">
            <w:pPr>
              <w:spacing w:after="0" w:line="360" w:lineRule="auto"/>
              <w:ind w:right="222"/>
              <w:jc w:val="both"/>
              <w:rPr>
                <w:rFonts w:cs="Calibri"/>
                <w:b/>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Excelente</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Bueno</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Regular</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No suficiente</w:t>
            </w:r>
          </w:p>
          <w:p w:rsidR="00400642" w:rsidRPr="00787E00" w:rsidRDefault="00400642" w:rsidP="00787E00">
            <w:pPr>
              <w:spacing w:after="0" w:line="360" w:lineRule="auto"/>
              <w:ind w:right="222"/>
              <w:jc w:val="both"/>
              <w:rPr>
                <w:rFonts w:cs="Calibri"/>
                <w:b/>
                <w:sz w:val="24"/>
                <w:szCs w:val="24"/>
              </w:rPr>
            </w:pPr>
          </w:p>
        </w:tc>
      </w:tr>
      <w:tr w:rsidR="00400642" w:rsidRPr="00787E00" w:rsidTr="00400642">
        <w:tc>
          <w:tcPr>
            <w:tcW w:w="873" w:type="pct"/>
            <w:shd w:val="clear" w:color="auto" w:fill="auto"/>
          </w:tcPr>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Comprensión de lectura</w:t>
            </w:r>
          </w:p>
        </w:tc>
        <w:tc>
          <w:tcPr>
            <w:tcW w:w="924"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2.0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Comprendió claramente la idea que el autor quiso transmitir</w:t>
            </w:r>
          </w:p>
        </w:tc>
        <w:tc>
          <w:tcPr>
            <w:tcW w:w="1008"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Comprendió parcialmente la idea que el autor quiso transmitir</w:t>
            </w:r>
          </w:p>
        </w:tc>
        <w:tc>
          <w:tcPr>
            <w:tcW w:w="1093"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No comprendió la idea que el autor quiso transmitir</w:t>
            </w:r>
          </w:p>
        </w:tc>
        <w:tc>
          <w:tcPr>
            <w:tcW w:w="1102"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La comprensión de la idea que el autor quiso transmitir fue nula y tiene dificultades para transmitir sus ideas</w:t>
            </w:r>
          </w:p>
        </w:tc>
      </w:tr>
      <w:tr w:rsidR="00400642" w:rsidRPr="00787E00" w:rsidTr="00400642">
        <w:tc>
          <w:tcPr>
            <w:tcW w:w="873" w:type="pct"/>
            <w:shd w:val="clear" w:color="auto" w:fill="auto"/>
          </w:tcPr>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Identificación de ideas</w:t>
            </w:r>
          </w:p>
        </w:tc>
        <w:tc>
          <w:tcPr>
            <w:tcW w:w="924"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Identificó todas las ideas principales y secundarias</w:t>
            </w:r>
          </w:p>
        </w:tc>
        <w:tc>
          <w:tcPr>
            <w:tcW w:w="1008"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Identificó el 50 % de las ideas principales y secundarias</w:t>
            </w:r>
          </w:p>
        </w:tc>
        <w:tc>
          <w:tcPr>
            <w:tcW w:w="1093"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Identificó menos del 50%  ideas principales y secundarias</w:t>
            </w:r>
          </w:p>
        </w:tc>
        <w:tc>
          <w:tcPr>
            <w:tcW w:w="1102"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Identificó menos del 25% de las ideas principales y secundarias</w:t>
            </w:r>
          </w:p>
        </w:tc>
      </w:tr>
      <w:tr w:rsidR="00400642" w:rsidRPr="00787E00" w:rsidTr="00400642">
        <w:tc>
          <w:tcPr>
            <w:tcW w:w="873" w:type="pct"/>
            <w:shd w:val="clear" w:color="auto" w:fill="auto"/>
          </w:tcPr>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Contenido</w:t>
            </w:r>
          </w:p>
        </w:tc>
        <w:tc>
          <w:tcPr>
            <w:tcW w:w="924"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4.5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El resumen generado es claro, está bien integrado y conserva la idea principal del texto original</w:t>
            </w:r>
          </w:p>
        </w:tc>
        <w:tc>
          <w:tcPr>
            <w:tcW w:w="1008"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3.0 a 2.0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El resumen generado es claro, está bien integrado, pero no conserva la idea principal del texto original</w:t>
            </w:r>
          </w:p>
        </w:tc>
        <w:tc>
          <w:tcPr>
            <w:tcW w:w="1093"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El resumen generado es claro, no está bien integrado y no conserva la idea principal del texto original</w:t>
            </w:r>
          </w:p>
        </w:tc>
        <w:tc>
          <w:tcPr>
            <w:tcW w:w="1102"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El resumen generado es difícil de leer, no está bien integrado y no conserva la idea principal del texto original</w:t>
            </w:r>
          </w:p>
        </w:tc>
      </w:tr>
      <w:tr w:rsidR="00400642" w:rsidRPr="00787E00" w:rsidTr="00400642">
        <w:tc>
          <w:tcPr>
            <w:tcW w:w="873" w:type="pct"/>
            <w:shd w:val="clear" w:color="auto" w:fill="auto"/>
          </w:tcPr>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Extensión</w:t>
            </w:r>
          </w:p>
        </w:tc>
        <w:tc>
          <w:tcPr>
            <w:tcW w:w="924"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2.0 punto</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La extensión es adecuada</w:t>
            </w:r>
          </w:p>
        </w:tc>
        <w:tc>
          <w:tcPr>
            <w:tcW w:w="1008"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1.0 punto</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La extensión es adecuada, pero no incluye todas las ideas principales</w:t>
            </w:r>
          </w:p>
        </w:tc>
        <w:tc>
          <w:tcPr>
            <w:tcW w:w="1093"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La extensión sobrepasa el límite recomendado, pero incluye las ideas principales</w:t>
            </w:r>
          </w:p>
        </w:tc>
        <w:tc>
          <w:tcPr>
            <w:tcW w:w="1102"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La extensión sobrepasa el límite recomendado y no incluye las ideas principales</w:t>
            </w:r>
          </w:p>
        </w:tc>
      </w:tr>
      <w:tr w:rsidR="00400642" w:rsidRPr="00787E00" w:rsidTr="00400642">
        <w:tc>
          <w:tcPr>
            <w:tcW w:w="873" w:type="pct"/>
            <w:shd w:val="clear" w:color="auto" w:fill="auto"/>
          </w:tcPr>
          <w:p w:rsidR="00400642" w:rsidRPr="00787E00" w:rsidRDefault="00400642" w:rsidP="00787E00">
            <w:pPr>
              <w:spacing w:after="0" w:line="360" w:lineRule="auto"/>
              <w:ind w:right="222"/>
              <w:jc w:val="both"/>
              <w:rPr>
                <w:rFonts w:cs="Calibri"/>
                <w:b/>
                <w:sz w:val="24"/>
                <w:szCs w:val="24"/>
              </w:rPr>
            </w:pPr>
          </w:p>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 xml:space="preserve">Ortografía </w:t>
            </w:r>
          </w:p>
        </w:tc>
        <w:tc>
          <w:tcPr>
            <w:tcW w:w="924"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1.0 punto</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 xml:space="preserve">Carece de errores ortográficos </w:t>
            </w:r>
          </w:p>
        </w:tc>
        <w:tc>
          <w:tcPr>
            <w:tcW w:w="1008"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0.75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 xml:space="preserve">Presenta 5 errores ortográficos </w:t>
            </w:r>
          </w:p>
        </w:tc>
        <w:tc>
          <w:tcPr>
            <w:tcW w:w="1093"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0.5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Presenta de 6 a 9 errores ortográficos</w:t>
            </w:r>
          </w:p>
        </w:tc>
        <w:tc>
          <w:tcPr>
            <w:tcW w:w="1102" w:type="pct"/>
          </w:tcPr>
          <w:p w:rsidR="00400642" w:rsidRPr="00787E00" w:rsidRDefault="00400642" w:rsidP="00787E00">
            <w:pPr>
              <w:spacing w:after="0" w:line="360" w:lineRule="auto"/>
              <w:ind w:right="222"/>
              <w:jc w:val="both"/>
              <w:rPr>
                <w:rFonts w:cs="Calibri"/>
                <w:b/>
                <w:sz w:val="24"/>
                <w:szCs w:val="24"/>
              </w:rPr>
            </w:pPr>
            <w:r w:rsidRPr="00787E00">
              <w:rPr>
                <w:rFonts w:cs="Calibri"/>
                <w:b/>
                <w:sz w:val="24"/>
                <w:szCs w:val="24"/>
              </w:rPr>
              <w:t>0 puntos</w:t>
            </w:r>
          </w:p>
          <w:p w:rsidR="00400642" w:rsidRPr="00787E00" w:rsidRDefault="00400642" w:rsidP="00787E00">
            <w:pPr>
              <w:spacing w:after="0" w:line="360" w:lineRule="auto"/>
              <w:ind w:right="222"/>
              <w:jc w:val="both"/>
              <w:rPr>
                <w:rFonts w:cs="Calibri"/>
                <w:sz w:val="24"/>
                <w:szCs w:val="24"/>
              </w:rPr>
            </w:pPr>
            <w:r w:rsidRPr="00787E00">
              <w:rPr>
                <w:rFonts w:cs="Calibri"/>
                <w:sz w:val="24"/>
                <w:szCs w:val="24"/>
              </w:rPr>
              <w:t>Presenta más de 10 errores ortográficos</w:t>
            </w:r>
          </w:p>
        </w:tc>
      </w:tr>
    </w:tbl>
    <w:p w:rsidR="00400642" w:rsidRPr="006D3F94" w:rsidRDefault="006D3F94" w:rsidP="00787E00">
      <w:pPr>
        <w:spacing w:after="0" w:line="360" w:lineRule="auto"/>
        <w:ind w:right="222"/>
        <w:jc w:val="both"/>
        <w:rPr>
          <w:rFonts w:cs="Calibri"/>
          <w:color w:val="7030A0"/>
          <w:sz w:val="24"/>
          <w:szCs w:val="24"/>
        </w:rPr>
      </w:pPr>
      <w:r w:rsidRPr="006D3F94">
        <w:rPr>
          <w:rFonts w:cs="Calibri"/>
          <w:color w:val="7030A0"/>
          <w:sz w:val="24"/>
          <w:szCs w:val="24"/>
        </w:rPr>
        <w:lastRenderedPageBreak/>
        <w:t>Conclusiones</w:t>
      </w:r>
    </w:p>
    <w:p w:rsidR="006D3F94" w:rsidRDefault="006D3F94" w:rsidP="00787E00">
      <w:pPr>
        <w:spacing w:after="0" w:line="360" w:lineRule="auto"/>
        <w:ind w:right="222"/>
        <w:jc w:val="both"/>
        <w:rPr>
          <w:rFonts w:cs="Calibri"/>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 xml:space="preserve">El desarrollo de secuencias didácticas es una de las maneras posibles de observar, analizar y juzgar sobre la acción educativa. Se aprende paso a paso siguiendo un proceso que necesariamente debe generar transformación o cambio en las competencias de la persona. Si no se produce cambio no podemos hablar de que se haya dado aprendizaje ni, por tanto, proceso formativo ni educativo. Así que la entrega de trabajos escritos no garantiza que el estudiante adquiera alguna competencia, falta a esta actividad, cotidiana en las instituciones de educación superior, las secuencias didácticas que permitan el desarrollo de las competencias. </w:t>
      </w:r>
    </w:p>
    <w:p w:rsidR="006D3F94" w:rsidRPr="002476AA" w:rsidRDefault="006D3F94" w:rsidP="00787E00">
      <w:pPr>
        <w:spacing w:after="0" w:line="360" w:lineRule="auto"/>
        <w:ind w:right="222"/>
        <w:jc w:val="both"/>
        <w:rPr>
          <w:rFonts w:ascii="Times New Roman" w:hAnsi="Times New Roman"/>
          <w:sz w:val="24"/>
          <w:szCs w:val="24"/>
        </w:rPr>
      </w:pPr>
    </w:p>
    <w:p w:rsidR="00400642"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El desarrollo de la competencia de comunicación escrita, necesaria para los profesionales de la Ingeniería Bioquímica, está por el momento ignorada en los planes de estudio y poco valorada por docentes y estudiantes, a pesar que los empleadores la consideran como una de las principales competencias que debe tener un ingeniero que es candidato a un puesto de trabajo.</w:t>
      </w:r>
    </w:p>
    <w:p w:rsidR="006D3F94" w:rsidRPr="002476AA" w:rsidRDefault="00400642" w:rsidP="00787E00">
      <w:pPr>
        <w:spacing w:after="0" w:line="360" w:lineRule="auto"/>
        <w:ind w:right="222"/>
        <w:jc w:val="both"/>
        <w:rPr>
          <w:rFonts w:ascii="Times New Roman" w:hAnsi="Times New Roman"/>
          <w:sz w:val="24"/>
          <w:szCs w:val="24"/>
        </w:rPr>
      </w:pPr>
      <w:r w:rsidRPr="002476AA">
        <w:rPr>
          <w:rFonts w:ascii="Times New Roman" w:hAnsi="Times New Roman"/>
          <w:sz w:val="24"/>
          <w:szCs w:val="24"/>
        </w:rPr>
        <w:tab/>
      </w:r>
    </w:p>
    <w:p w:rsidR="00400642" w:rsidRPr="00787E00" w:rsidRDefault="00400642" w:rsidP="00787E00">
      <w:pPr>
        <w:spacing w:after="0" w:line="360" w:lineRule="auto"/>
        <w:ind w:right="222"/>
        <w:jc w:val="both"/>
        <w:rPr>
          <w:rFonts w:cs="Calibri"/>
          <w:sz w:val="24"/>
          <w:szCs w:val="24"/>
        </w:rPr>
      </w:pPr>
      <w:r w:rsidRPr="002476AA">
        <w:rPr>
          <w:rFonts w:ascii="Times New Roman" w:hAnsi="Times New Roman"/>
          <w:sz w:val="24"/>
          <w:szCs w:val="24"/>
        </w:rPr>
        <w:t>Entonces es importante trabajar en la generación de estrategias que permitan la adquisición de esta competencia. El primer paso es incluir secuencias didácticas, en algunas asignaturas, como la aquí expuesta para iniciar el proceso formativo que culmine con el desarrollo de la competencia: comunicación escrita.</w:t>
      </w:r>
    </w:p>
    <w:p w:rsidR="00400642" w:rsidRDefault="00400642" w:rsidP="00787E00">
      <w:pPr>
        <w:spacing w:after="0" w:line="360" w:lineRule="auto"/>
        <w:ind w:right="222"/>
        <w:jc w:val="both"/>
        <w:rPr>
          <w:rFonts w:cs="Calibri"/>
          <w:sz w:val="24"/>
          <w:szCs w:val="24"/>
        </w:rPr>
      </w:pPr>
    </w:p>
    <w:p w:rsidR="006D3F94" w:rsidRDefault="006D3F94" w:rsidP="00787E00">
      <w:pPr>
        <w:spacing w:after="0" w:line="360" w:lineRule="auto"/>
        <w:ind w:right="222"/>
        <w:jc w:val="both"/>
        <w:rPr>
          <w:rFonts w:cs="Calibri"/>
          <w:sz w:val="24"/>
          <w:szCs w:val="24"/>
        </w:rPr>
      </w:pPr>
    </w:p>
    <w:p w:rsidR="00540EBB" w:rsidRDefault="00540EBB" w:rsidP="00787E00">
      <w:pPr>
        <w:spacing w:after="0" w:line="360" w:lineRule="auto"/>
        <w:ind w:right="222"/>
        <w:jc w:val="both"/>
        <w:rPr>
          <w:rFonts w:cs="Calibri"/>
          <w:sz w:val="24"/>
          <w:szCs w:val="24"/>
        </w:rPr>
      </w:pPr>
    </w:p>
    <w:p w:rsidR="00540EBB" w:rsidRDefault="00540EBB" w:rsidP="00787E00">
      <w:pPr>
        <w:spacing w:after="0" w:line="360" w:lineRule="auto"/>
        <w:ind w:right="222"/>
        <w:jc w:val="both"/>
        <w:rPr>
          <w:rFonts w:cs="Calibri"/>
          <w:sz w:val="24"/>
          <w:szCs w:val="24"/>
        </w:rPr>
      </w:pPr>
    </w:p>
    <w:p w:rsidR="00540EBB" w:rsidRDefault="00540EBB" w:rsidP="00787E00">
      <w:pPr>
        <w:spacing w:after="0" w:line="360" w:lineRule="auto"/>
        <w:ind w:right="222"/>
        <w:jc w:val="both"/>
        <w:rPr>
          <w:rFonts w:cs="Calibri"/>
          <w:sz w:val="24"/>
          <w:szCs w:val="24"/>
        </w:rPr>
      </w:pPr>
    </w:p>
    <w:p w:rsidR="00540EBB" w:rsidRDefault="00540EBB" w:rsidP="00787E00">
      <w:pPr>
        <w:spacing w:after="0" w:line="360" w:lineRule="auto"/>
        <w:ind w:right="222"/>
        <w:jc w:val="both"/>
        <w:rPr>
          <w:rFonts w:cs="Calibri"/>
          <w:sz w:val="24"/>
          <w:szCs w:val="24"/>
        </w:rPr>
      </w:pPr>
    </w:p>
    <w:p w:rsidR="00540EBB" w:rsidRDefault="00540EBB" w:rsidP="00787E00">
      <w:pPr>
        <w:spacing w:after="0" w:line="360" w:lineRule="auto"/>
        <w:ind w:right="222"/>
        <w:jc w:val="both"/>
        <w:rPr>
          <w:rFonts w:cs="Calibri"/>
          <w:sz w:val="24"/>
          <w:szCs w:val="24"/>
        </w:rPr>
      </w:pPr>
    </w:p>
    <w:p w:rsidR="002476AA" w:rsidRDefault="002476AA" w:rsidP="00787E00">
      <w:pPr>
        <w:spacing w:after="0" w:line="360" w:lineRule="auto"/>
        <w:ind w:right="222"/>
        <w:jc w:val="both"/>
        <w:rPr>
          <w:rFonts w:cs="Calibri"/>
          <w:sz w:val="24"/>
          <w:szCs w:val="24"/>
        </w:rPr>
      </w:pPr>
    </w:p>
    <w:p w:rsidR="00540EBB" w:rsidRPr="00787E00" w:rsidRDefault="00540EBB" w:rsidP="00787E00">
      <w:pPr>
        <w:spacing w:after="0" w:line="360" w:lineRule="auto"/>
        <w:ind w:right="222"/>
        <w:jc w:val="both"/>
        <w:rPr>
          <w:rFonts w:cs="Calibri"/>
          <w:sz w:val="24"/>
          <w:szCs w:val="24"/>
        </w:rPr>
      </w:pPr>
    </w:p>
    <w:p w:rsidR="00400642" w:rsidRDefault="00540EBB" w:rsidP="00787E00">
      <w:pPr>
        <w:spacing w:after="0" w:line="360" w:lineRule="auto"/>
        <w:ind w:right="222"/>
        <w:jc w:val="both"/>
        <w:rPr>
          <w:rFonts w:cs="Calibri"/>
          <w:color w:val="7030A0"/>
          <w:sz w:val="28"/>
          <w:szCs w:val="24"/>
        </w:rPr>
      </w:pPr>
      <w:r>
        <w:rPr>
          <w:rFonts w:cs="Calibri"/>
          <w:color w:val="7030A0"/>
          <w:sz w:val="28"/>
          <w:szCs w:val="24"/>
        </w:rPr>
        <w:lastRenderedPageBreak/>
        <w:t>Bibliografía</w:t>
      </w:r>
    </w:p>
    <w:p w:rsidR="006D3F94" w:rsidRPr="006D3F94" w:rsidRDefault="006D3F94" w:rsidP="00787E00">
      <w:pPr>
        <w:spacing w:after="0" w:line="360" w:lineRule="auto"/>
        <w:ind w:right="222"/>
        <w:jc w:val="both"/>
        <w:rPr>
          <w:rFonts w:cs="Calibri"/>
          <w:color w:val="7030A0"/>
          <w:sz w:val="28"/>
          <w:szCs w:val="24"/>
        </w:rPr>
      </w:pPr>
    </w:p>
    <w:p w:rsidR="00400642" w:rsidRPr="002476AA" w:rsidRDefault="00400642" w:rsidP="002476AA">
      <w:pPr>
        <w:spacing w:after="0" w:line="360" w:lineRule="auto"/>
        <w:ind w:left="709" w:right="222" w:hanging="709"/>
        <w:jc w:val="both"/>
        <w:rPr>
          <w:rFonts w:ascii="Times New Roman" w:hAnsi="Times New Roman"/>
          <w:sz w:val="24"/>
          <w:szCs w:val="24"/>
        </w:rPr>
      </w:pPr>
      <w:r w:rsidRPr="002476AA">
        <w:rPr>
          <w:rFonts w:ascii="Times New Roman" w:hAnsi="Times New Roman"/>
          <w:sz w:val="24"/>
          <w:szCs w:val="24"/>
        </w:rPr>
        <w:t xml:space="preserve">Acuña, E. C. (1986). </w:t>
      </w:r>
      <w:r w:rsidRPr="002476AA">
        <w:rPr>
          <w:rFonts w:ascii="Times New Roman" w:hAnsi="Times New Roman"/>
          <w:i/>
          <w:sz w:val="24"/>
          <w:szCs w:val="24"/>
        </w:rPr>
        <w:t>Guía del Estudiante: Preparación de informes escritos</w:t>
      </w:r>
      <w:r w:rsidRPr="002476AA">
        <w:rPr>
          <w:rFonts w:ascii="Times New Roman" w:hAnsi="Times New Roman"/>
          <w:sz w:val="24"/>
          <w:szCs w:val="24"/>
        </w:rPr>
        <w:t>. México D.F.: Coordinación de Apoyos y Servicios Educativos, Universidad Nacional</w:t>
      </w:r>
    </w:p>
    <w:p w:rsidR="00400642" w:rsidRPr="002476AA" w:rsidRDefault="00400642" w:rsidP="002476AA">
      <w:pPr>
        <w:spacing w:after="0" w:line="360" w:lineRule="auto"/>
        <w:ind w:left="709" w:right="222" w:hanging="709"/>
        <w:jc w:val="both"/>
        <w:rPr>
          <w:rFonts w:ascii="Times New Roman" w:hAnsi="Times New Roman"/>
          <w:sz w:val="24"/>
          <w:szCs w:val="24"/>
        </w:rPr>
      </w:pPr>
    </w:p>
    <w:p w:rsidR="00400642" w:rsidRPr="002476AA" w:rsidRDefault="00400642" w:rsidP="002476AA">
      <w:pPr>
        <w:spacing w:after="0" w:line="360" w:lineRule="auto"/>
        <w:ind w:left="709" w:right="222" w:hanging="709"/>
        <w:jc w:val="both"/>
        <w:rPr>
          <w:rFonts w:ascii="Times New Roman" w:hAnsi="Times New Roman"/>
          <w:sz w:val="24"/>
          <w:szCs w:val="24"/>
          <w:lang w:val="es-MX"/>
        </w:rPr>
      </w:pPr>
      <w:r w:rsidRPr="002476AA">
        <w:rPr>
          <w:rFonts w:ascii="Times New Roman" w:hAnsi="Times New Roman"/>
          <w:sz w:val="24"/>
          <w:szCs w:val="24"/>
          <w:lang w:val="es-MX"/>
        </w:rPr>
        <w:t xml:space="preserve">ANUIES (2012). </w:t>
      </w:r>
      <w:r w:rsidRPr="002476AA">
        <w:rPr>
          <w:rFonts w:ascii="Times New Roman" w:hAnsi="Times New Roman"/>
          <w:i/>
          <w:sz w:val="24"/>
          <w:szCs w:val="24"/>
          <w:lang w:val="es-MX"/>
        </w:rPr>
        <w:t>Anuario Estadístico. Población escolar y personal docente en la educación media superior y superior, ciclo escolar 2011-2012</w:t>
      </w:r>
      <w:r w:rsidRPr="002476AA">
        <w:rPr>
          <w:rFonts w:ascii="Times New Roman" w:hAnsi="Times New Roman"/>
          <w:sz w:val="24"/>
          <w:szCs w:val="24"/>
          <w:lang w:val="es-MX"/>
        </w:rPr>
        <w:t>. México, ANUIES</w:t>
      </w:r>
    </w:p>
    <w:p w:rsidR="00400642" w:rsidRPr="002476AA" w:rsidRDefault="00400642" w:rsidP="002476AA">
      <w:pPr>
        <w:spacing w:after="0" w:line="360" w:lineRule="auto"/>
        <w:ind w:left="709" w:right="222" w:hanging="709"/>
        <w:jc w:val="both"/>
        <w:rPr>
          <w:rFonts w:ascii="Times New Roman" w:hAnsi="Times New Roman"/>
          <w:sz w:val="24"/>
          <w:szCs w:val="24"/>
        </w:rPr>
      </w:pPr>
    </w:p>
    <w:p w:rsidR="00400642" w:rsidRPr="002476AA" w:rsidRDefault="00400642" w:rsidP="002476AA">
      <w:pPr>
        <w:spacing w:after="0" w:line="360" w:lineRule="auto"/>
        <w:ind w:left="709" w:right="222" w:hanging="709"/>
        <w:jc w:val="both"/>
        <w:rPr>
          <w:rFonts w:ascii="Times New Roman" w:hAnsi="Times New Roman"/>
          <w:sz w:val="24"/>
          <w:szCs w:val="24"/>
        </w:rPr>
      </w:pPr>
      <w:proofErr w:type="spellStart"/>
      <w:r w:rsidRPr="002476AA">
        <w:rPr>
          <w:rFonts w:ascii="Times New Roman" w:hAnsi="Times New Roman"/>
          <w:sz w:val="24"/>
          <w:szCs w:val="24"/>
        </w:rPr>
        <w:t>Argudín</w:t>
      </w:r>
      <w:proofErr w:type="spellEnd"/>
      <w:r w:rsidRPr="002476AA">
        <w:rPr>
          <w:rFonts w:ascii="Times New Roman" w:hAnsi="Times New Roman"/>
          <w:sz w:val="24"/>
          <w:szCs w:val="24"/>
        </w:rPr>
        <w:t xml:space="preserve">, Y., Luna, M. (2006). </w:t>
      </w:r>
      <w:r w:rsidRPr="002476AA">
        <w:rPr>
          <w:rFonts w:ascii="Times New Roman" w:hAnsi="Times New Roman"/>
          <w:i/>
          <w:sz w:val="24"/>
          <w:szCs w:val="24"/>
        </w:rPr>
        <w:t>Aprender a pensar leyendo bien</w:t>
      </w:r>
      <w:r w:rsidRPr="002476AA">
        <w:rPr>
          <w:rFonts w:ascii="Times New Roman" w:hAnsi="Times New Roman"/>
          <w:sz w:val="24"/>
          <w:szCs w:val="24"/>
        </w:rPr>
        <w:t>. Barcelona: Ediciones Paidós Ibérica S. A.</w:t>
      </w:r>
    </w:p>
    <w:p w:rsidR="00400642" w:rsidRPr="002476AA" w:rsidRDefault="00400642" w:rsidP="002476AA">
      <w:pPr>
        <w:spacing w:after="0" w:line="360" w:lineRule="auto"/>
        <w:ind w:left="709" w:right="222" w:hanging="709"/>
        <w:jc w:val="both"/>
        <w:rPr>
          <w:rFonts w:ascii="Times New Roman" w:hAnsi="Times New Roman"/>
          <w:sz w:val="24"/>
          <w:szCs w:val="24"/>
          <w:lang w:val="es-MX"/>
        </w:rPr>
      </w:pPr>
      <w:r w:rsidRPr="002476AA">
        <w:rPr>
          <w:rFonts w:ascii="Times New Roman" w:hAnsi="Times New Roman"/>
          <w:sz w:val="24"/>
          <w:szCs w:val="24"/>
          <w:lang w:val="es-MX"/>
        </w:rPr>
        <w:t>Ruiz-</w:t>
      </w:r>
      <w:proofErr w:type="spellStart"/>
      <w:r w:rsidRPr="002476AA">
        <w:rPr>
          <w:rFonts w:ascii="Times New Roman" w:hAnsi="Times New Roman"/>
          <w:sz w:val="24"/>
          <w:szCs w:val="24"/>
          <w:lang w:val="es-MX"/>
        </w:rPr>
        <w:t>Larraguivel</w:t>
      </w:r>
      <w:proofErr w:type="spellEnd"/>
      <w:r w:rsidRPr="002476AA">
        <w:rPr>
          <w:rFonts w:ascii="Times New Roman" w:hAnsi="Times New Roman"/>
          <w:sz w:val="24"/>
          <w:szCs w:val="24"/>
          <w:lang w:val="es-MX"/>
        </w:rPr>
        <w:t xml:space="preserve"> E. (2011) </w:t>
      </w:r>
      <w:r w:rsidRPr="002476AA">
        <w:rPr>
          <w:rFonts w:ascii="Times New Roman" w:hAnsi="Times New Roman"/>
          <w:i/>
          <w:sz w:val="24"/>
          <w:szCs w:val="24"/>
          <w:lang w:val="es-MX"/>
        </w:rPr>
        <w:t>La educación superior tecnológica en historia, situación actual y Perspectiva</w:t>
      </w:r>
      <w:r w:rsidRPr="002476AA">
        <w:rPr>
          <w:rFonts w:ascii="Times New Roman" w:hAnsi="Times New Roman"/>
          <w:sz w:val="24"/>
          <w:szCs w:val="24"/>
          <w:lang w:val="es-MX"/>
        </w:rPr>
        <w:t>. Revista Iberoamericana de Educación Superior. 2(3): 35-52</w:t>
      </w:r>
    </w:p>
    <w:p w:rsidR="00400642" w:rsidRPr="002476AA" w:rsidRDefault="00400642" w:rsidP="002476AA">
      <w:pPr>
        <w:spacing w:after="0" w:line="360" w:lineRule="auto"/>
        <w:ind w:left="709" w:right="222" w:hanging="709"/>
        <w:jc w:val="both"/>
        <w:rPr>
          <w:rFonts w:ascii="Times New Roman" w:hAnsi="Times New Roman"/>
          <w:sz w:val="24"/>
          <w:szCs w:val="24"/>
        </w:rPr>
      </w:pPr>
    </w:p>
    <w:p w:rsidR="00400642" w:rsidRPr="002476AA" w:rsidRDefault="00400642" w:rsidP="002476AA">
      <w:pPr>
        <w:spacing w:after="0" w:line="360" w:lineRule="auto"/>
        <w:ind w:left="709" w:right="222" w:hanging="709"/>
        <w:jc w:val="both"/>
        <w:rPr>
          <w:rFonts w:ascii="Times New Roman" w:hAnsi="Times New Roman"/>
          <w:sz w:val="24"/>
          <w:szCs w:val="24"/>
        </w:rPr>
      </w:pPr>
      <w:r w:rsidRPr="002476AA">
        <w:rPr>
          <w:rFonts w:ascii="Times New Roman" w:hAnsi="Times New Roman"/>
          <w:sz w:val="24"/>
          <w:szCs w:val="24"/>
        </w:rPr>
        <w:t xml:space="preserve">Serafini, M. T., (2005). </w:t>
      </w:r>
      <w:r w:rsidRPr="002476AA">
        <w:rPr>
          <w:rFonts w:ascii="Times New Roman" w:hAnsi="Times New Roman"/>
          <w:i/>
          <w:sz w:val="24"/>
          <w:szCs w:val="24"/>
        </w:rPr>
        <w:t>Cómo se escribe</w:t>
      </w:r>
      <w:r w:rsidRPr="002476AA">
        <w:rPr>
          <w:rFonts w:ascii="Times New Roman" w:hAnsi="Times New Roman"/>
          <w:sz w:val="24"/>
          <w:szCs w:val="24"/>
        </w:rPr>
        <w:t>. Barcelona: Paidós.</w:t>
      </w:r>
    </w:p>
    <w:p w:rsidR="00400642" w:rsidRPr="002476AA" w:rsidRDefault="00400642" w:rsidP="002476AA">
      <w:pPr>
        <w:spacing w:after="0" w:line="360" w:lineRule="auto"/>
        <w:ind w:left="709" w:right="222" w:hanging="709"/>
        <w:jc w:val="both"/>
        <w:rPr>
          <w:rFonts w:ascii="Times New Roman" w:hAnsi="Times New Roman"/>
          <w:sz w:val="24"/>
          <w:szCs w:val="24"/>
        </w:rPr>
      </w:pPr>
    </w:p>
    <w:p w:rsidR="00400642" w:rsidRPr="00787E00" w:rsidRDefault="00400642" w:rsidP="002476AA">
      <w:pPr>
        <w:spacing w:after="0" w:line="360" w:lineRule="auto"/>
        <w:ind w:left="709" w:right="222" w:hanging="709"/>
        <w:jc w:val="both"/>
        <w:rPr>
          <w:rFonts w:cs="Calibri"/>
          <w:sz w:val="24"/>
          <w:szCs w:val="24"/>
          <w:lang w:val="es-MX"/>
        </w:rPr>
      </w:pPr>
      <w:proofErr w:type="spellStart"/>
      <w:r w:rsidRPr="002476AA">
        <w:rPr>
          <w:rFonts w:ascii="Times New Roman" w:hAnsi="Times New Roman"/>
          <w:sz w:val="24"/>
          <w:szCs w:val="24"/>
          <w:lang w:val="es-MX"/>
        </w:rPr>
        <w:t>Tuirán</w:t>
      </w:r>
      <w:proofErr w:type="spellEnd"/>
      <w:r w:rsidRPr="002476AA">
        <w:rPr>
          <w:rFonts w:ascii="Times New Roman" w:hAnsi="Times New Roman"/>
          <w:sz w:val="24"/>
          <w:szCs w:val="24"/>
          <w:lang w:val="es-MX"/>
        </w:rPr>
        <w:t xml:space="preserve"> R. (2012) La </w:t>
      </w:r>
      <w:r w:rsidRPr="002476AA">
        <w:rPr>
          <w:rFonts w:ascii="Times New Roman" w:hAnsi="Times New Roman"/>
          <w:i/>
          <w:sz w:val="24"/>
          <w:szCs w:val="24"/>
          <w:lang w:val="es-MX"/>
        </w:rPr>
        <w:t>Educación Superior en México 2006-2012, un balance inicial</w:t>
      </w:r>
      <w:r w:rsidRPr="002476AA">
        <w:rPr>
          <w:rFonts w:ascii="Times New Roman" w:hAnsi="Times New Roman"/>
          <w:sz w:val="24"/>
          <w:szCs w:val="24"/>
          <w:lang w:val="es-MX"/>
        </w:rPr>
        <w:t xml:space="preserve">. Observatorio Académico Universitario: </w:t>
      </w:r>
      <w:hyperlink r:id="rId9" w:history="1">
        <w:r w:rsidRPr="002476AA">
          <w:rPr>
            <w:rStyle w:val="Hipervnculo"/>
            <w:rFonts w:ascii="Times New Roman" w:hAnsi="Times New Roman"/>
            <w:sz w:val="24"/>
            <w:szCs w:val="24"/>
            <w:lang w:val="es-MX"/>
          </w:rPr>
          <w:t>http://red-academica.net/observatorio-academico/2012/10/03/la-educacion-superior-en-mexico-2006-2012-un-balance-inicial/</w:t>
        </w:r>
      </w:hyperlink>
    </w:p>
    <w:p w:rsidR="00400642" w:rsidRPr="00787E00" w:rsidRDefault="00400642" w:rsidP="00787E00">
      <w:pPr>
        <w:spacing w:after="0" w:line="360" w:lineRule="auto"/>
        <w:ind w:right="222"/>
        <w:jc w:val="both"/>
        <w:rPr>
          <w:rFonts w:cs="Calibri"/>
          <w:sz w:val="24"/>
          <w:szCs w:val="24"/>
          <w:lang w:val="es-MX"/>
        </w:rPr>
      </w:pPr>
    </w:p>
    <w:p w:rsidR="009242BE" w:rsidRPr="00787E00" w:rsidRDefault="009242BE" w:rsidP="00787E00">
      <w:pPr>
        <w:spacing w:after="0" w:line="360" w:lineRule="auto"/>
        <w:ind w:right="222"/>
        <w:jc w:val="both"/>
        <w:rPr>
          <w:rFonts w:cs="Calibri"/>
          <w:sz w:val="24"/>
          <w:szCs w:val="24"/>
          <w:lang w:val="es-MX"/>
        </w:rPr>
      </w:pPr>
    </w:p>
    <w:sectPr w:rsidR="009242BE" w:rsidRPr="00787E00" w:rsidSect="002476AA">
      <w:headerReference w:type="even" r:id="rId10"/>
      <w:headerReference w:type="default" r:id="rId11"/>
      <w:footerReference w:type="even" r:id="rId12"/>
      <w:footerReference w:type="default" r:id="rId13"/>
      <w:headerReference w:type="first" r:id="rId14"/>
      <w:footerReference w:type="first" r:id="rId15"/>
      <w:pgSz w:w="12242" w:h="15842" w:code="119"/>
      <w:pgMar w:top="1560" w:right="680" w:bottom="2160" w:left="1134" w:header="709" w:footer="1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767" w:rsidRDefault="00102767" w:rsidP="00BF2859">
      <w:pPr>
        <w:spacing w:after="0" w:line="240" w:lineRule="auto"/>
      </w:pPr>
      <w:r>
        <w:separator/>
      </w:r>
    </w:p>
  </w:endnote>
  <w:endnote w:type="continuationSeparator" w:id="0">
    <w:p w:rsidR="00102767" w:rsidRDefault="00102767"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457" w:rsidRDefault="004654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B0" w:rsidRDefault="00E01ABF" w:rsidP="00E01ABF">
    <w:pPr>
      <w:pStyle w:val="Piedepgina"/>
      <w:jc w:val="center"/>
    </w:pPr>
    <w:r>
      <w:tab/>
    </w:r>
    <w:r>
      <w:tab/>
    </w:r>
    <w:r>
      <w:tab/>
    </w:r>
    <w:r>
      <w:tab/>
    </w:r>
  </w:p>
  <w:p w:rsidR="00BF2859" w:rsidRPr="00256150" w:rsidRDefault="002476AA" w:rsidP="002476AA">
    <w:pPr>
      <w:pStyle w:val="Piedepgina"/>
      <w:jc w:val="center"/>
      <w:rPr>
        <w:sz w:val="20"/>
        <w:szCs w:val="20"/>
      </w:rPr>
    </w:pPr>
    <w:r>
      <w:rPr>
        <w:rFonts w:cs="Calibri"/>
        <w:b/>
      </w:rPr>
      <w:t xml:space="preserve">Vol. </w:t>
    </w:r>
    <w:r>
      <w:rPr>
        <w:rFonts w:cs="Calibri"/>
        <w:b/>
        <w:lang w:val="es-MX"/>
      </w:rPr>
      <w:t>1</w:t>
    </w:r>
    <w:r>
      <w:rPr>
        <w:rFonts w:cs="Calibri"/>
        <w:b/>
      </w:rPr>
      <w:t>, Núm. 2</w:t>
    </w:r>
    <w:r w:rsidRPr="00DB0B18">
      <w:rPr>
        <w:rFonts w:cs="Calibri"/>
        <w:b/>
      </w:rPr>
      <w:t xml:space="preserve">                   </w:t>
    </w:r>
    <w:r>
      <w:rPr>
        <w:rFonts w:cs="Calibri"/>
        <w:b/>
        <w:lang w:val="es-MX"/>
      </w:rPr>
      <w:t>Julio - Diciembre</w:t>
    </w:r>
    <w:r>
      <w:rPr>
        <w:rFonts w:cs="Calibri"/>
        <w:b/>
      </w:rPr>
      <w:t xml:space="preserve"> 201</w:t>
    </w:r>
    <w:r>
      <w:rPr>
        <w:rFonts w:cs="Calibri"/>
        <w:b/>
        <w:lang w:val="es-MX"/>
      </w:rPr>
      <w:t>4</w:t>
    </w:r>
    <w:r w:rsidRPr="00DB0B18">
      <w:rPr>
        <w:rFonts w:cs="Calibri"/>
        <w:b/>
      </w:rPr>
      <w:t xml:space="preserve">                           </w:t>
    </w:r>
    <w:r>
      <w:rPr>
        <w:rFonts w:cs="Calibri"/>
        <w:b/>
        <w:lang w:val="es-MX"/>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457" w:rsidRDefault="004654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767" w:rsidRDefault="00102767" w:rsidP="00BF2859">
      <w:pPr>
        <w:spacing w:after="0" w:line="240" w:lineRule="auto"/>
      </w:pPr>
      <w:r>
        <w:separator/>
      </w:r>
    </w:p>
  </w:footnote>
  <w:footnote w:type="continuationSeparator" w:id="0">
    <w:p w:rsidR="00102767" w:rsidRDefault="00102767"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457" w:rsidRDefault="004654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457" w:rsidRPr="004C037E" w:rsidRDefault="00465457" w:rsidP="00465457">
    <w:pPr>
      <w:pStyle w:val="Encabezado"/>
      <w:jc w:val="center"/>
      <w:rPr>
        <w:lang w:val="es-MX"/>
      </w:rPr>
    </w:pPr>
    <w:r w:rsidRPr="00465457">
      <w:rPr>
        <w:rFonts w:cs="Calibri"/>
        <w:b/>
        <w:i/>
        <w:lang w:val="es-MX"/>
      </w:rPr>
      <w:t>Revista Electrónica del Desarrollo Humano para la Innovación Social         ISSN: 2448 - 7422</w:t>
    </w:r>
  </w:p>
  <w:p w:rsidR="000F28A7" w:rsidRPr="00465457" w:rsidRDefault="000F28A7" w:rsidP="000F28A7">
    <w:pPr>
      <w:pStyle w:val="Encabezado"/>
      <w:ind w:left="-709"/>
      <w:jc w:val="center"/>
      <w:rPr>
        <w:rFonts w:ascii="Times New Roman" w:hAnsi="Times New Roman"/>
        <w:sz w:val="24"/>
        <w:szCs w:val="24"/>
        <w:lang w:val="es-MX"/>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457" w:rsidRDefault="004654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 w15:restartNumberingAfterBreak="0">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02767"/>
    <w:rsid w:val="0017346A"/>
    <w:rsid w:val="002476AA"/>
    <w:rsid w:val="002537C0"/>
    <w:rsid w:val="00256150"/>
    <w:rsid w:val="00261A78"/>
    <w:rsid w:val="0026788D"/>
    <w:rsid w:val="00267B4C"/>
    <w:rsid w:val="002964EE"/>
    <w:rsid w:val="002979CE"/>
    <w:rsid w:val="002B24D8"/>
    <w:rsid w:val="003034AD"/>
    <w:rsid w:val="00304A2E"/>
    <w:rsid w:val="00335BAA"/>
    <w:rsid w:val="00374DB0"/>
    <w:rsid w:val="00376D45"/>
    <w:rsid w:val="003A4B02"/>
    <w:rsid w:val="003B6857"/>
    <w:rsid w:val="00400642"/>
    <w:rsid w:val="00456D64"/>
    <w:rsid w:val="00465457"/>
    <w:rsid w:val="004660B0"/>
    <w:rsid w:val="004A092D"/>
    <w:rsid w:val="004B1303"/>
    <w:rsid w:val="004E5089"/>
    <w:rsid w:val="00515576"/>
    <w:rsid w:val="00523727"/>
    <w:rsid w:val="0053414F"/>
    <w:rsid w:val="00540EBB"/>
    <w:rsid w:val="0054410D"/>
    <w:rsid w:val="005F26E9"/>
    <w:rsid w:val="00613F90"/>
    <w:rsid w:val="00621A44"/>
    <w:rsid w:val="00625FD0"/>
    <w:rsid w:val="00627A47"/>
    <w:rsid w:val="00652046"/>
    <w:rsid w:val="00683817"/>
    <w:rsid w:val="00685C47"/>
    <w:rsid w:val="006D3F94"/>
    <w:rsid w:val="00723B09"/>
    <w:rsid w:val="00787E00"/>
    <w:rsid w:val="007A77F8"/>
    <w:rsid w:val="007E5CD5"/>
    <w:rsid w:val="007E7995"/>
    <w:rsid w:val="0081093F"/>
    <w:rsid w:val="00881BA4"/>
    <w:rsid w:val="008F5797"/>
    <w:rsid w:val="00905E18"/>
    <w:rsid w:val="00914F57"/>
    <w:rsid w:val="00915F57"/>
    <w:rsid w:val="009242BE"/>
    <w:rsid w:val="00964AC0"/>
    <w:rsid w:val="009D41C1"/>
    <w:rsid w:val="00AC04B8"/>
    <w:rsid w:val="00AC4F61"/>
    <w:rsid w:val="00AE771A"/>
    <w:rsid w:val="00AF3188"/>
    <w:rsid w:val="00B104EC"/>
    <w:rsid w:val="00B45239"/>
    <w:rsid w:val="00B47EB9"/>
    <w:rsid w:val="00B543CB"/>
    <w:rsid w:val="00B54D17"/>
    <w:rsid w:val="00B81ABA"/>
    <w:rsid w:val="00B93EC0"/>
    <w:rsid w:val="00BD592C"/>
    <w:rsid w:val="00BF2859"/>
    <w:rsid w:val="00C3055D"/>
    <w:rsid w:val="00CA166D"/>
    <w:rsid w:val="00D06FB6"/>
    <w:rsid w:val="00D622EA"/>
    <w:rsid w:val="00D64DA5"/>
    <w:rsid w:val="00D8595C"/>
    <w:rsid w:val="00DC0D99"/>
    <w:rsid w:val="00DE3E62"/>
    <w:rsid w:val="00DE6590"/>
    <w:rsid w:val="00DF61B2"/>
    <w:rsid w:val="00E01ABF"/>
    <w:rsid w:val="00E21AAC"/>
    <w:rsid w:val="00E55461"/>
    <w:rsid w:val="00E65872"/>
    <w:rsid w:val="00EA5F60"/>
    <w:rsid w:val="00EB7D23"/>
    <w:rsid w:val="00EC023B"/>
    <w:rsid w:val="00EE26B8"/>
    <w:rsid w:val="00EF0B85"/>
    <w:rsid w:val="00F40BD6"/>
    <w:rsid w:val="00F82A61"/>
    <w:rsid w:val="00F861EF"/>
    <w:rsid w:val="00FA6563"/>
    <w:rsid w:val="00FB5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D3F5F-C325-482D-85D9-29A4038F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uiPriority w:val="99"/>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table" w:styleId="Tablaconcuadrcula">
    <w:name w:val="Table Grid"/>
    <w:basedOn w:val="Tablanormal"/>
    <w:uiPriority w:val="59"/>
    <w:rsid w:val="004006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vigueras@tese.edu.m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d-academica.net/observatorio-academico/2012/10/03/la-educacion-superior-en-mexico-2006-2012-un-balance-inicia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3654</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23704</CharactersWithSpaces>
  <SharedDoc>false</SharedDoc>
  <HLinks>
    <vt:vector size="12" baseType="variant">
      <vt:variant>
        <vt:i4>5767171</vt:i4>
      </vt:variant>
      <vt:variant>
        <vt:i4>3</vt:i4>
      </vt:variant>
      <vt:variant>
        <vt:i4>0</vt:i4>
      </vt:variant>
      <vt:variant>
        <vt:i4>5</vt:i4>
      </vt:variant>
      <vt:variant>
        <vt:lpwstr>http://red-academica.net/observatorio-academico/2012/10/03/la-educacion-superior-en-mexico-2006-2012-un-balance-inicial/</vt:lpwstr>
      </vt:variant>
      <vt:variant>
        <vt:lpwstr/>
      </vt:variant>
      <vt:variant>
        <vt:i4>1507426</vt:i4>
      </vt:variant>
      <vt:variant>
        <vt:i4>0</vt:i4>
      </vt:variant>
      <vt:variant>
        <vt:i4>0</vt:i4>
      </vt:variant>
      <vt:variant>
        <vt:i4>5</vt:i4>
      </vt:variant>
      <vt:variant>
        <vt:lpwstr>mailto:svigueras@tese.edu.mx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FRANCISCO</cp:lastModifiedBy>
  <cp:revision>3</cp:revision>
  <dcterms:created xsi:type="dcterms:W3CDTF">2016-10-11T17:18:00Z</dcterms:created>
  <dcterms:modified xsi:type="dcterms:W3CDTF">2016-11-19T18:04:00Z</dcterms:modified>
</cp:coreProperties>
</file>