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745" w:rsidRDefault="009E4745" w:rsidP="009E4745">
      <w:pPr>
        <w:shd w:val="clear" w:color="auto" w:fill="auto"/>
        <w:spacing w:line="276" w:lineRule="auto"/>
        <w:jc w:val="right"/>
        <w:rPr>
          <w:rFonts w:asciiTheme="minorHAnsi" w:eastAsiaTheme="minorHAnsi" w:hAnsiTheme="minorHAnsi" w:cstheme="minorHAnsi"/>
          <w:color w:val="7030A0"/>
          <w:sz w:val="36"/>
          <w:shd w:val="clear" w:color="auto" w:fill="auto"/>
          <w:lang w:val="es-ES" w:eastAsia="en-US"/>
        </w:rPr>
      </w:pPr>
      <w:r w:rsidRPr="009E4745">
        <w:rPr>
          <w:rFonts w:asciiTheme="minorHAnsi" w:eastAsiaTheme="minorHAnsi" w:hAnsiTheme="minorHAnsi" w:cstheme="minorHAnsi"/>
          <w:color w:val="7030A0"/>
          <w:sz w:val="36"/>
          <w:shd w:val="clear" w:color="auto" w:fill="auto"/>
          <w:lang w:val="es-ES" w:eastAsia="en-US"/>
        </w:rPr>
        <w:t xml:space="preserve">Síndrome de desgaste estudiantil (Burnout) y su asociación con ansiedad y depresión en alumnos de una </w:t>
      </w:r>
    </w:p>
    <w:p w:rsidR="009E4745" w:rsidRPr="002A6BE0" w:rsidRDefault="009E4745" w:rsidP="009E4745">
      <w:pPr>
        <w:shd w:val="clear" w:color="auto" w:fill="auto"/>
        <w:spacing w:line="276" w:lineRule="auto"/>
        <w:jc w:val="right"/>
        <w:rPr>
          <w:rFonts w:asciiTheme="minorHAnsi" w:eastAsiaTheme="minorHAnsi" w:hAnsiTheme="minorHAnsi" w:cstheme="minorHAnsi"/>
          <w:color w:val="7030A0"/>
          <w:sz w:val="36"/>
          <w:shd w:val="clear" w:color="auto" w:fill="auto"/>
          <w:lang w:val="en-US" w:eastAsia="en-US"/>
        </w:rPr>
      </w:pPr>
      <w:r w:rsidRPr="002A6BE0">
        <w:rPr>
          <w:rFonts w:asciiTheme="minorHAnsi" w:eastAsiaTheme="minorHAnsi" w:hAnsiTheme="minorHAnsi" w:cstheme="minorHAnsi"/>
          <w:color w:val="7030A0"/>
          <w:sz w:val="36"/>
          <w:shd w:val="clear" w:color="auto" w:fill="auto"/>
          <w:lang w:val="en-US" w:eastAsia="en-US"/>
        </w:rPr>
        <w:t>Escuela de Enfermería</w:t>
      </w:r>
    </w:p>
    <w:p w:rsidR="00BE6715" w:rsidRPr="002A6BE0" w:rsidRDefault="00BE6715" w:rsidP="009E4745">
      <w:pPr>
        <w:shd w:val="clear" w:color="auto" w:fill="auto"/>
        <w:spacing w:line="276" w:lineRule="auto"/>
        <w:jc w:val="right"/>
        <w:rPr>
          <w:rFonts w:asciiTheme="minorHAnsi" w:eastAsiaTheme="minorHAnsi" w:hAnsiTheme="minorHAnsi" w:cstheme="minorHAnsi"/>
          <w:i/>
          <w:color w:val="7030A0"/>
          <w:sz w:val="28"/>
          <w:shd w:val="clear" w:color="auto" w:fill="auto"/>
          <w:lang w:val="en-US" w:eastAsia="en-US"/>
        </w:rPr>
      </w:pPr>
      <w:r w:rsidRPr="002A6BE0">
        <w:rPr>
          <w:rFonts w:asciiTheme="minorHAnsi" w:eastAsiaTheme="minorHAnsi" w:hAnsiTheme="minorHAnsi" w:cstheme="minorHAnsi"/>
          <w:i/>
          <w:color w:val="7030A0"/>
          <w:sz w:val="28"/>
          <w:shd w:val="clear" w:color="auto" w:fill="auto"/>
          <w:lang w:val="en-US" w:eastAsia="en-US"/>
        </w:rPr>
        <w:br/>
        <w:t>Wear student syndrome (burnout) and its association with anxiety and depression in students of a Nursing School</w:t>
      </w:r>
    </w:p>
    <w:p w:rsidR="009E4745" w:rsidRPr="002A6BE0" w:rsidRDefault="009E4745" w:rsidP="009E4745">
      <w:pPr>
        <w:shd w:val="clear" w:color="auto" w:fill="auto"/>
        <w:spacing w:line="276" w:lineRule="auto"/>
        <w:jc w:val="right"/>
        <w:rPr>
          <w:rFonts w:asciiTheme="minorHAnsi" w:eastAsiaTheme="minorHAnsi" w:hAnsiTheme="minorHAnsi" w:cstheme="minorHAnsi"/>
          <w:color w:val="7030A0"/>
          <w:sz w:val="36"/>
          <w:shd w:val="clear" w:color="auto" w:fill="auto"/>
          <w:lang w:val="en-US" w:eastAsia="en-US"/>
        </w:rPr>
      </w:pPr>
      <w:r w:rsidRPr="002A6BE0">
        <w:rPr>
          <w:rFonts w:asciiTheme="minorHAnsi" w:eastAsiaTheme="minorHAnsi" w:hAnsiTheme="minorHAnsi" w:cstheme="minorHAnsi"/>
          <w:color w:val="7030A0"/>
          <w:sz w:val="36"/>
          <w:shd w:val="clear" w:color="auto" w:fill="auto"/>
          <w:lang w:val="en-US" w:eastAsia="en-US"/>
        </w:rPr>
        <w:t xml:space="preserve"> </w:t>
      </w:r>
    </w:p>
    <w:p w:rsidR="009E4745" w:rsidRPr="009E4745" w:rsidRDefault="009E4745" w:rsidP="009E4745">
      <w:pPr>
        <w:shd w:val="clear" w:color="auto" w:fill="auto"/>
        <w:spacing w:line="276" w:lineRule="auto"/>
        <w:jc w:val="right"/>
        <w:rPr>
          <w:rFonts w:asciiTheme="minorHAnsi" w:eastAsiaTheme="minorHAnsi" w:hAnsiTheme="minorHAnsi" w:cstheme="minorHAnsi"/>
          <w:b/>
          <w:color w:val="auto"/>
          <w:shd w:val="clear" w:color="auto" w:fill="auto"/>
          <w:lang w:val="es-ES" w:eastAsia="en-US"/>
        </w:rPr>
      </w:pPr>
      <w:r w:rsidRPr="009E4745">
        <w:rPr>
          <w:rFonts w:asciiTheme="minorHAnsi" w:eastAsiaTheme="minorHAnsi" w:hAnsiTheme="minorHAnsi" w:cstheme="minorHAnsi"/>
          <w:b/>
          <w:color w:val="auto"/>
          <w:shd w:val="clear" w:color="auto" w:fill="auto"/>
          <w:lang w:val="es-ES" w:eastAsia="en-US"/>
        </w:rPr>
        <w:t>Víctor Manuel Velasco Rodríguez</w:t>
      </w:r>
    </w:p>
    <w:p w:rsidR="009E4745" w:rsidRPr="009E4745" w:rsidRDefault="009E4745" w:rsidP="009E4745">
      <w:pPr>
        <w:shd w:val="clear" w:color="auto" w:fill="auto"/>
        <w:spacing w:line="276" w:lineRule="auto"/>
        <w:jc w:val="right"/>
        <w:rPr>
          <w:rFonts w:asciiTheme="minorHAnsi" w:eastAsiaTheme="minorHAnsi" w:hAnsiTheme="minorHAnsi" w:cstheme="minorHAnsi"/>
          <w:color w:val="auto"/>
          <w:shd w:val="clear" w:color="auto" w:fill="auto"/>
          <w:lang w:val="es-ES" w:eastAsia="en-US"/>
        </w:rPr>
      </w:pPr>
      <w:r w:rsidRPr="009E4745">
        <w:rPr>
          <w:rFonts w:asciiTheme="minorHAnsi" w:eastAsiaTheme="minorHAnsi" w:hAnsiTheme="minorHAnsi" w:cstheme="minorHAnsi"/>
          <w:color w:val="auto"/>
          <w:shd w:val="clear" w:color="auto" w:fill="auto"/>
          <w:lang w:val="es-ES" w:eastAsia="en-US"/>
        </w:rPr>
        <w:t>Universidad Autónoma de Coahuila</w:t>
      </w:r>
    </w:p>
    <w:p w:rsidR="009E4745" w:rsidRPr="009E4745" w:rsidRDefault="009E4745" w:rsidP="009E4745">
      <w:pPr>
        <w:shd w:val="clear" w:color="auto" w:fill="auto"/>
        <w:spacing w:line="276" w:lineRule="auto"/>
        <w:jc w:val="right"/>
        <w:rPr>
          <w:rFonts w:asciiTheme="minorHAnsi" w:eastAsiaTheme="minorHAnsi" w:hAnsiTheme="minorHAnsi" w:cstheme="minorHAnsi"/>
          <w:color w:val="FF0000"/>
          <w:shd w:val="clear" w:color="auto" w:fill="auto"/>
          <w:lang w:val="es-ES" w:eastAsia="en-US"/>
        </w:rPr>
      </w:pPr>
      <w:r w:rsidRPr="009E4745">
        <w:rPr>
          <w:rFonts w:asciiTheme="minorHAnsi" w:eastAsiaTheme="minorHAnsi" w:hAnsiTheme="minorHAnsi" w:cstheme="minorHAnsi"/>
          <w:color w:val="FF0000"/>
          <w:shd w:val="clear" w:color="auto" w:fill="auto"/>
          <w:lang w:val="es-ES" w:eastAsia="en-US"/>
        </w:rPr>
        <w:t>victorvelasco07@gmail.com</w:t>
      </w:r>
    </w:p>
    <w:p w:rsidR="009E4745" w:rsidRPr="009E4745" w:rsidRDefault="009E4745" w:rsidP="009E4745">
      <w:pPr>
        <w:shd w:val="clear" w:color="auto" w:fill="auto"/>
        <w:spacing w:line="276" w:lineRule="auto"/>
        <w:jc w:val="right"/>
        <w:rPr>
          <w:rFonts w:asciiTheme="minorHAnsi" w:eastAsiaTheme="minorHAnsi" w:hAnsiTheme="minorHAnsi" w:cstheme="minorHAnsi"/>
          <w:color w:val="auto"/>
          <w:shd w:val="clear" w:color="auto" w:fill="auto"/>
          <w:lang w:val="es-ES" w:eastAsia="en-US"/>
        </w:rPr>
      </w:pPr>
    </w:p>
    <w:p w:rsidR="009E4745" w:rsidRPr="009E4745" w:rsidRDefault="009E4745" w:rsidP="009E4745">
      <w:pPr>
        <w:shd w:val="clear" w:color="auto" w:fill="auto"/>
        <w:spacing w:line="276" w:lineRule="auto"/>
        <w:jc w:val="right"/>
        <w:rPr>
          <w:rFonts w:asciiTheme="minorHAnsi" w:eastAsiaTheme="minorHAnsi" w:hAnsiTheme="minorHAnsi" w:cstheme="minorHAnsi"/>
          <w:b/>
          <w:color w:val="auto"/>
          <w:shd w:val="clear" w:color="auto" w:fill="auto"/>
          <w:lang w:val="es-ES" w:eastAsia="en-US"/>
        </w:rPr>
      </w:pPr>
      <w:r w:rsidRPr="009E4745">
        <w:rPr>
          <w:rFonts w:asciiTheme="minorHAnsi" w:eastAsiaTheme="minorHAnsi" w:hAnsiTheme="minorHAnsi" w:cstheme="minorHAnsi"/>
          <w:b/>
          <w:color w:val="auto"/>
          <w:shd w:val="clear" w:color="auto" w:fill="auto"/>
          <w:lang w:val="es-ES" w:eastAsia="en-US"/>
        </w:rPr>
        <w:t>Sonia Plutarca Córdova Estrada</w:t>
      </w:r>
    </w:p>
    <w:p w:rsidR="009E4745" w:rsidRDefault="009E4745" w:rsidP="009E4745">
      <w:pPr>
        <w:shd w:val="clear" w:color="auto" w:fill="auto"/>
        <w:spacing w:line="276" w:lineRule="auto"/>
        <w:jc w:val="right"/>
        <w:rPr>
          <w:rFonts w:asciiTheme="minorHAnsi" w:eastAsiaTheme="minorHAnsi" w:hAnsiTheme="minorHAnsi" w:cstheme="minorHAnsi"/>
          <w:color w:val="auto"/>
          <w:shd w:val="clear" w:color="auto" w:fill="auto"/>
          <w:lang w:val="es-ES" w:eastAsia="en-US"/>
        </w:rPr>
      </w:pPr>
      <w:r w:rsidRPr="009E4745">
        <w:rPr>
          <w:rFonts w:asciiTheme="minorHAnsi" w:eastAsiaTheme="minorHAnsi" w:hAnsiTheme="minorHAnsi" w:cstheme="minorHAnsi"/>
          <w:color w:val="auto"/>
          <w:shd w:val="clear" w:color="auto" w:fill="auto"/>
          <w:lang w:val="es-ES" w:eastAsia="en-US"/>
        </w:rPr>
        <w:t>Universidad Autónoma de Coahuila</w:t>
      </w:r>
    </w:p>
    <w:p w:rsidR="009E4745" w:rsidRPr="009E4745" w:rsidRDefault="009E4745" w:rsidP="009E4745">
      <w:pPr>
        <w:shd w:val="clear" w:color="auto" w:fill="auto"/>
        <w:spacing w:line="276" w:lineRule="auto"/>
        <w:jc w:val="right"/>
        <w:rPr>
          <w:rFonts w:asciiTheme="minorHAnsi" w:eastAsiaTheme="minorHAnsi" w:hAnsiTheme="minorHAnsi" w:cstheme="minorHAnsi"/>
          <w:color w:val="FF0000"/>
          <w:shd w:val="clear" w:color="auto" w:fill="auto"/>
          <w:lang w:val="es-ES" w:eastAsia="en-US"/>
        </w:rPr>
      </w:pPr>
      <w:r w:rsidRPr="009E4745">
        <w:rPr>
          <w:rFonts w:asciiTheme="minorHAnsi" w:eastAsiaTheme="minorHAnsi" w:hAnsiTheme="minorHAnsi" w:cstheme="minorHAnsi"/>
          <w:color w:val="FF0000"/>
          <w:shd w:val="clear" w:color="auto" w:fill="auto"/>
          <w:lang w:val="es-ES" w:eastAsia="en-US"/>
        </w:rPr>
        <w:t>spcordova19@yahoo.com.mx</w:t>
      </w:r>
    </w:p>
    <w:p w:rsidR="009E4745" w:rsidRDefault="009E4745" w:rsidP="009E4745">
      <w:pPr>
        <w:shd w:val="clear" w:color="auto" w:fill="auto"/>
        <w:spacing w:line="276" w:lineRule="auto"/>
        <w:jc w:val="right"/>
        <w:rPr>
          <w:rFonts w:asciiTheme="minorHAnsi" w:eastAsiaTheme="minorHAnsi" w:hAnsiTheme="minorHAnsi" w:cstheme="minorHAnsi"/>
          <w:color w:val="auto"/>
          <w:shd w:val="clear" w:color="auto" w:fill="auto"/>
          <w:lang w:val="es-ES" w:eastAsia="en-US"/>
        </w:rPr>
      </w:pPr>
    </w:p>
    <w:p w:rsidR="009E4745" w:rsidRPr="009E4745" w:rsidRDefault="009E4745" w:rsidP="009E4745">
      <w:pPr>
        <w:shd w:val="clear" w:color="auto" w:fill="auto"/>
        <w:spacing w:line="276" w:lineRule="auto"/>
        <w:jc w:val="right"/>
        <w:rPr>
          <w:rFonts w:asciiTheme="minorHAnsi" w:eastAsiaTheme="minorHAnsi" w:hAnsiTheme="minorHAnsi" w:cstheme="minorHAnsi"/>
          <w:b/>
          <w:color w:val="auto"/>
          <w:shd w:val="clear" w:color="auto" w:fill="auto"/>
          <w:lang w:val="es-ES" w:eastAsia="en-US"/>
        </w:rPr>
      </w:pPr>
      <w:r w:rsidRPr="009E4745">
        <w:rPr>
          <w:rFonts w:asciiTheme="minorHAnsi" w:eastAsiaTheme="minorHAnsi" w:hAnsiTheme="minorHAnsi" w:cstheme="minorHAnsi"/>
          <w:b/>
          <w:color w:val="auto"/>
          <w:shd w:val="clear" w:color="auto" w:fill="auto"/>
          <w:lang w:val="es-ES" w:eastAsia="en-US"/>
        </w:rPr>
        <w:t>Gerardo Suárez Alemán</w:t>
      </w:r>
    </w:p>
    <w:p w:rsidR="009E4745" w:rsidRPr="009E4745" w:rsidRDefault="009E4745" w:rsidP="009E4745">
      <w:pPr>
        <w:shd w:val="clear" w:color="auto" w:fill="auto"/>
        <w:spacing w:line="276" w:lineRule="auto"/>
        <w:jc w:val="right"/>
        <w:rPr>
          <w:rFonts w:asciiTheme="minorHAnsi" w:eastAsiaTheme="minorHAnsi" w:hAnsiTheme="minorHAnsi" w:cstheme="minorHAnsi"/>
          <w:color w:val="auto"/>
          <w:shd w:val="clear" w:color="auto" w:fill="auto"/>
          <w:lang w:val="es-ES" w:eastAsia="en-US"/>
        </w:rPr>
      </w:pPr>
      <w:r w:rsidRPr="009E4745">
        <w:rPr>
          <w:rFonts w:asciiTheme="minorHAnsi" w:eastAsiaTheme="minorHAnsi" w:hAnsiTheme="minorHAnsi" w:cstheme="minorHAnsi"/>
          <w:color w:val="auto"/>
          <w:shd w:val="clear" w:color="auto" w:fill="auto"/>
          <w:lang w:val="es-ES" w:eastAsia="en-US"/>
        </w:rPr>
        <w:t>Universidad Autónoma de Coahuila</w:t>
      </w:r>
    </w:p>
    <w:p w:rsidR="009E4745" w:rsidRPr="009E4745" w:rsidRDefault="009E4745" w:rsidP="009E4745">
      <w:pPr>
        <w:shd w:val="clear" w:color="auto" w:fill="auto"/>
        <w:spacing w:line="276" w:lineRule="auto"/>
        <w:jc w:val="right"/>
        <w:rPr>
          <w:rFonts w:asciiTheme="minorHAnsi" w:eastAsiaTheme="minorHAnsi" w:hAnsiTheme="minorHAnsi" w:cstheme="minorHAnsi"/>
          <w:color w:val="FF0000"/>
          <w:shd w:val="clear" w:color="auto" w:fill="auto"/>
          <w:lang w:val="es-ES" w:eastAsia="en-US"/>
        </w:rPr>
      </w:pPr>
      <w:r w:rsidRPr="009E4745">
        <w:rPr>
          <w:rFonts w:asciiTheme="minorHAnsi" w:eastAsiaTheme="minorHAnsi" w:hAnsiTheme="minorHAnsi" w:cstheme="minorHAnsi"/>
          <w:color w:val="FF0000"/>
          <w:shd w:val="clear" w:color="auto" w:fill="auto"/>
          <w:lang w:val="es-ES" w:eastAsia="en-US"/>
        </w:rPr>
        <w:t>suag71@hotmail.com</w:t>
      </w:r>
    </w:p>
    <w:p w:rsidR="009E4745" w:rsidRDefault="009E4745" w:rsidP="009E4745">
      <w:pPr>
        <w:shd w:val="clear" w:color="auto" w:fill="auto"/>
        <w:spacing w:line="360" w:lineRule="auto"/>
        <w:rPr>
          <w:rFonts w:asciiTheme="minorHAnsi" w:eastAsiaTheme="minorHAnsi" w:hAnsiTheme="minorHAnsi" w:cstheme="minorHAnsi"/>
          <w:color w:val="auto"/>
          <w:shd w:val="clear" w:color="auto" w:fill="auto"/>
          <w:lang w:val="es-ES" w:eastAsia="en-US"/>
        </w:rPr>
      </w:pPr>
    </w:p>
    <w:p w:rsidR="009E4745" w:rsidRDefault="009E4745" w:rsidP="009E4745">
      <w:pPr>
        <w:shd w:val="clear" w:color="auto" w:fill="auto"/>
        <w:spacing w:line="360" w:lineRule="auto"/>
        <w:rPr>
          <w:rFonts w:asciiTheme="minorHAnsi" w:eastAsiaTheme="minorHAnsi" w:hAnsiTheme="minorHAnsi" w:cstheme="minorHAnsi"/>
          <w:color w:val="auto"/>
          <w:shd w:val="clear" w:color="auto" w:fill="auto"/>
          <w:lang w:val="es-ES" w:eastAsia="en-US"/>
        </w:rPr>
      </w:pPr>
    </w:p>
    <w:p w:rsidR="009E4745" w:rsidRDefault="009E4745" w:rsidP="009E4745">
      <w:pPr>
        <w:shd w:val="clear" w:color="auto" w:fill="auto"/>
        <w:spacing w:line="360" w:lineRule="auto"/>
        <w:rPr>
          <w:rFonts w:asciiTheme="minorHAnsi" w:eastAsiaTheme="minorHAnsi" w:hAnsiTheme="minorHAnsi" w:cstheme="minorHAnsi"/>
          <w:color w:val="auto"/>
          <w:shd w:val="clear" w:color="auto" w:fill="auto"/>
          <w:lang w:val="es-ES" w:eastAsia="en-US"/>
        </w:rPr>
      </w:pPr>
    </w:p>
    <w:p w:rsidR="009E4745" w:rsidRPr="009E4745" w:rsidRDefault="009E4745" w:rsidP="009E4745">
      <w:pPr>
        <w:shd w:val="clear" w:color="auto" w:fill="auto"/>
        <w:spacing w:line="360" w:lineRule="auto"/>
        <w:rPr>
          <w:rFonts w:asciiTheme="minorHAnsi" w:eastAsiaTheme="minorHAnsi" w:hAnsiTheme="minorHAnsi" w:cstheme="minorHAnsi"/>
          <w:color w:val="7030A0"/>
          <w:sz w:val="28"/>
          <w:shd w:val="clear" w:color="auto" w:fill="auto"/>
          <w:lang w:val="es-ES" w:eastAsia="en-US"/>
        </w:rPr>
      </w:pPr>
      <w:r w:rsidRPr="009E4745">
        <w:rPr>
          <w:rFonts w:asciiTheme="minorHAnsi" w:eastAsiaTheme="minorHAnsi" w:hAnsiTheme="minorHAnsi" w:cstheme="minorHAnsi"/>
          <w:color w:val="7030A0"/>
          <w:sz w:val="28"/>
          <w:shd w:val="clear" w:color="auto" w:fill="auto"/>
          <w:lang w:val="es-ES" w:eastAsia="en-US"/>
        </w:rPr>
        <w:t>Resumen</w:t>
      </w:r>
    </w:p>
    <w:p w:rsidR="009E4745" w:rsidRPr="00BE6715" w:rsidRDefault="009E4745" w:rsidP="009E4745">
      <w:pPr>
        <w:shd w:val="clear" w:color="auto" w:fill="auto"/>
        <w:spacing w:line="360" w:lineRule="auto"/>
        <w:rPr>
          <w:rFonts w:eastAsiaTheme="minorHAnsi"/>
          <w:color w:val="auto"/>
          <w:shd w:val="clear" w:color="auto" w:fill="auto"/>
          <w:lang w:val="es-ES" w:eastAsia="en-US"/>
        </w:rPr>
      </w:pPr>
      <w:r w:rsidRPr="00BE6715">
        <w:rPr>
          <w:rFonts w:eastAsiaTheme="minorHAnsi"/>
          <w:color w:val="auto"/>
          <w:shd w:val="clear" w:color="auto" w:fill="auto"/>
          <w:lang w:val="es-ES" w:eastAsia="en-US"/>
        </w:rPr>
        <w:t>Objetivo: Determinar frecuencia de burnout y asociación con ansiedad, depresión en una Escuela de Licenciatura en Enfermería.</w:t>
      </w:r>
    </w:p>
    <w:p w:rsidR="009E4745" w:rsidRPr="00BE6715" w:rsidRDefault="009E4745" w:rsidP="009E4745">
      <w:pPr>
        <w:shd w:val="clear" w:color="auto" w:fill="auto"/>
        <w:spacing w:line="360" w:lineRule="auto"/>
        <w:rPr>
          <w:rFonts w:eastAsiaTheme="minorHAnsi"/>
          <w:color w:val="auto"/>
          <w:shd w:val="clear" w:color="auto" w:fill="auto"/>
          <w:lang w:val="es-ES" w:eastAsia="en-US"/>
        </w:rPr>
      </w:pPr>
      <w:r w:rsidRPr="00BE6715">
        <w:rPr>
          <w:rFonts w:eastAsiaTheme="minorHAnsi"/>
          <w:color w:val="auto"/>
          <w:shd w:val="clear" w:color="auto" w:fill="auto"/>
          <w:lang w:val="es-ES" w:eastAsia="en-US"/>
        </w:rPr>
        <w:t xml:space="preserve">Material y Método. Estudio transversal. Se aplicó Instrumento MBI-SS (burnout),  escala de ansiedad de Hamilton y escala de depresión de Beck. Análisis descriptivo univariado y bivariado, asociación con ansiedad y depresión y diferencias de acuerdo a semestre y turno escolar. Análisis SPSS 15.0 </w:t>
      </w:r>
    </w:p>
    <w:p w:rsidR="009E4745" w:rsidRPr="00BE6715" w:rsidRDefault="009E4745" w:rsidP="009E4745">
      <w:pPr>
        <w:shd w:val="clear" w:color="auto" w:fill="auto"/>
        <w:spacing w:line="360" w:lineRule="auto"/>
        <w:rPr>
          <w:rFonts w:eastAsiaTheme="minorHAnsi"/>
          <w:color w:val="auto"/>
          <w:shd w:val="clear" w:color="auto" w:fill="auto"/>
          <w:lang w:val="es-ES" w:eastAsia="en-US"/>
        </w:rPr>
      </w:pPr>
      <w:r w:rsidRPr="00BE6715">
        <w:rPr>
          <w:rFonts w:eastAsiaTheme="minorHAnsi"/>
          <w:color w:val="auto"/>
          <w:shd w:val="clear" w:color="auto" w:fill="auto"/>
          <w:lang w:val="es-ES" w:eastAsia="en-US"/>
        </w:rPr>
        <w:t xml:space="preserve">Resultados. 261 alumnos, edad media 22.3 ± 6.3 años. 161 matutino y 100 vespertino. 48 cumplieron criterios para catalogarlos como Burnout (18.4%). Afectación predominante de la dimensión “afectación emocional” (40) y menor las dimensiones “eficiencia académica” </w:t>
      </w:r>
      <w:r w:rsidRPr="00BE6715">
        <w:rPr>
          <w:rFonts w:eastAsiaTheme="minorHAnsi"/>
          <w:color w:val="auto"/>
          <w:shd w:val="clear" w:color="auto" w:fill="auto"/>
          <w:lang w:val="es-ES" w:eastAsia="en-US"/>
        </w:rPr>
        <w:lastRenderedPageBreak/>
        <w:t>y “cinismo”. Once (4.2%) presentaron puntuaciones arriba de 50% en escala Hamilton y 54(20.7%) entre 25 y 50%, predominando factor psicológicos sobre somático. Catorce (5.4%) tienen depresión moderada a severa y 40 (15.3%) leve o intermitente. Los primeros semestres presentan mayor afectación emocional que los últimos (p&lt;0.05),mayor la tasa de depresión y ansiedad(p&lt;0.001). Existe corre lación significativa (p&lt;0.001) entre ansiedad y depresión (r=0.667), entre afectación emocional y ansiedad (r=0.491) y depresión (r=0.392).</w:t>
      </w:r>
    </w:p>
    <w:p w:rsidR="009E4745" w:rsidRPr="00BE6715" w:rsidRDefault="009E4745" w:rsidP="009E4745">
      <w:pPr>
        <w:shd w:val="clear" w:color="auto" w:fill="auto"/>
        <w:spacing w:line="360" w:lineRule="auto"/>
        <w:rPr>
          <w:rFonts w:eastAsiaTheme="minorHAnsi"/>
          <w:color w:val="auto"/>
          <w:shd w:val="clear" w:color="auto" w:fill="auto"/>
          <w:lang w:val="es-ES" w:eastAsia="en-US"/>
        </w:rPr>
      </w:pPr>
    </w:p>
    <w:p w:rsidR="009E4745" w:rsidRPr="009E4745" w:rsidRDefault="009E4745" w:rsidP="009E4745">
      <w:pPr>
        <w:shd w:val="clear" w:color="auto" w:fill="auto"/>
        <w:spacing w:line="360" w:lineRule="auto"/>
        <w:rPr>
          <w:rFonts w:asciiTheme="minorHAnsi" w:eastAsiaTheme="minorHAnsi" w:hAnsiTheme="minorHAnsi" w:cstheme="minorHAnsi"/>
          <w:color w:val="auto"/>
          <w:shd w:val="clear" w:color="auto" w:fill="auto"/>
          <w:lang w:val="es-ES" w:eastAsia="en-US"/>
        </w:rPr>
      </w:pPr>
      <w:r w:rsidRPr="00BE6715">
        <w:rPr>
          <w:rFonts w:eastAsiaTheme="minorHAnsi"/>
          <w:color w:val="auto"/>
          <w:shd w:val="clear" w:color="auto" w:fill="auto"/>
          <w:lang w:val="es-ES" w:eastAsia="en-US"/>
        </w:rPr>
        <w:t xml:space="preserve">Conclusiones. Frecuencia de burnout elevada. Mayor afectación en agotamiento emocional en los primeros semestres. Asociación con ansiedad y depresión. Es área de oportunidad para acciones tutoriales concisas y dirigidas. </w:t>
      </w:r>
    </w:p>
    <w:p w:rsidR="009E4745" w:rsidRDefault="009E4745" w:rsidP="009E4745">
      <w:pPr>
        <w:shd w:val="clear" w:color="auto" w:fill="auto"/>
        <w:spacing w:line="360" w:lineRule="auto"/>
        <w:rPr>
          <w:rFonts w:asciiTheme="minorHAnsi" w:eastAsiaTheme="minorHAnsi" w:hAnsiTheme="minorHAnsi" w:cstheme="minorHAnsi"/>
          <w:color w:val="7030A0"/>
          <w:sz w:val="28"/>
          <w:shd w:val="clear" w:color="auto" w:fill="auto"/>
          <w:lang w:val="es-ES" w:eastAsia="en-US"/>
        </w:rPr>
      </w:pPr>
    </w:p>
    <w:p w:rsidR="009E4745" w:rsidRDefault="009E4745" w:rsidP="009E4745">
      <w:pPr>
        <w:shd w:val="clear" w:color="auto" w:fill="auto"/>
        <w:spacing w:line="360" w:lineRule="auto"/>
        <w:rPr>
          <w:rFonts w:eastAsiaTheme="minorHAnsi"/>
          <w:color w:val="auto"/>
          <w:shd w:val="clear" w:color="auto" w:fill="auto"/>
          <w:lang w:val="es-ES" w:eastAsia="en-US"/>
        </w:rPr>
      </w:pPr>
      <w:r w:rsidRPr="009E4745">
        <w:rPr>
          <w:rFonts w:asciiTheme="minorHAnsi" w:eastAsiaTheme="minorHAnsi" w:hAnsiTheme="minorHAnsi" w:cstheme="minorHAnsi"/>
          <w:color w:val="7030A0"/>
          <w:sz w:val="28"/>
          <w:shd w:val="clear" w:color="auto" w:fill="auto"/>
          <w:lang w:val="es-ES" w:eastAsia="en-US"/>
        </w:rPr>
        <w:t>Palabras clave:</w:t>
      </w:r>
      <w:r w:rsidRPr="009E4745">
        <w:rPr>
          <w:rFonts w:asciiTheme="minorHAnsi" w:eastAsiaTheme="minorHAnsi" w:hAnsiTheme="minorHAnsi" w:cstheme="minorHAnsi"/>
          <w:color w:val="auto"/>
          <w:sz w:val="28"/>
          <w:shd w:val="clear" w:color="auto" w:fill="auto"/>
          <w:lang w:val="es-ES" w:eastAsia="en-US"/>
        </w:rPr>
        <w:t xml:space="preserve"> </w:t>
      </w:r>
      <w:r w:rsidRPr="00BE6715">
        <w:rPr>
          <w:rFonts w:eastAsiaTheme="minorHAnsi"/>
          <w:color w:val="auto"/>
          <w:shd w:val="clear" w:color="auto" w:fill="auto"/>
          <w:lang w:val="es-ES" w:eastAsia="en-US"/>
        </w:rPr>
        <w:t>Burnout, Ansiedad, Depresión, Agotamiento emocional, Estrategias de tutoría</w:t>
      </w:r>
      <w:r w:rsidR="00BE6715">
        <w:rPr>
          <w:rFonts w:eastAsiaTheme="minorHAnsi"/>
          <w:color w:val="auto"/>
          <w:shd w:val="clear" w:color="auto" w:fill="auto"/>
          <w:lang w:val="es-ES" w:eastAsia="en-US"/>
        </w:rPr>
        <w:t>.</w:t>
      </w:r>
    </w:p>
    <w:p w:rsidR="00BE6715" w:rsidRPr="00BE6715" w:rsidRDefault="00BE6715" w:rsidP="009E4745">
      <w:pPr>
        <w:shd w:val="clear" w:color="auto" w:fill="auto"/>
        <w:spacing w:line="360" w:lineRule="auto"/>
        <w:rPr>
          <w:rFonts w:asciiTheme="minorHAnsi" w:eastAsiaTheme="minorHAnsi" w:hAnsiTheme="minorHAnsi" w:cstheme="minorHAnsi"/>
          <w:color w:val="7030A0"/>
          <w:sz w:val="28"/>
          <w:shd w:val="clear" w:color="auto" w:fill="auto"/>
          <w:lang w:val="es-ES" w:eastAsia="en-US"/>
        </w:rPr>
      </w:pPr>
      <w:r>
        <w:rPr>
          <w:rFonts w:asciiTheme="minorHAnsi" w:eastAsiaTheme="minorHAnsi" w:hAnsiTheme="minorHAnsi" w:cstheme="minorHAnsi"/>
          <w:color w:val="7030A0"/>
          <w:sz w:val="28"/>
          <w:shd w:val="clear" w:color="auto" w:fill="auto"/>
          <w:lang w:val="es-ES" w:eastAsia="en-US"/>
        </w:rPr>
        <w:br/>
      </w:r>
      <w:r w:rsidRPr="00BE6715">
        <w:rPr>
          <w:rFonts w:asciiTheme="minorHAnsi" w:eastAsiaTheme="minorHAnsi" w:hAnsiTheme="minorHAnsi" w:cstheme="minorHAnsi"/>
          <w:color w:val="7030A0"/>
          <w:sz w:val="28"/>
          <w:shd w:val="clear" w:color="auto" w:fill="auto"/>
          <w:lang w:val="es-ES" w:eastAsia="en-US"/>
        </w:rPr>
        <w:t>Abstract</w:t>
      </w:r>
    </w:p>
    <w:p w:rsidR="00BE6715" w:rsidRPr="00BE6715" w:rsidRDefault="00BE6715" w:rsidP="00BE6715">
      <w:pPr>
        <w:shd w:val="clear" w:color="auto" w:fill="auto"/>
        <w:spacing w:line="360" w:lineRule="auto"/>
        <w:rPr>
          <w:rFonts w:eastAsiaTheme="minorHAnsi"/>
          <w:color w:val="auto"/>
          <w:shd w:val="clear" w:color="auto" w:fill="auto"/>
          <w:lang w:val="es-ES" w:eastAsia="en-US"/>
        </w:rPr>
      </w:pPr>
      <w:r w:rsidRPr="00BE6715">
        <w:rPr>
          <w:rFonts w:eastAsiaTheme="minorHAnsi"/>
          <w:color w:val="auto"/>
          <w:shd w:val="clear" w:color="auto" w:fill="auto"/>
          <w:lang w:val="es-ES" w:eastAsia="en-US"/>
        </w:rPr>
        <w:t>Objective: To determine frequency of burnout and anxiety associated with depression in a School of Nursing.</w:t>
      </w:r>
    </w:p>
    <w:p w:rsidR="00BE6715" w:rsidRPr="00BE6715" w:rsidRDefault="00BE6715" w:rsidP="00BE6715">
      <w:pPr>
        <w:shd w:val="clear" w:color="auto" w:fill="auto"/>
        <w:spacing w:line="360" w:lineRule="auto"/>
        <w:rPr>
          <w:rFonts w:eastAsiaTheme="minorHAnsi"/>
          <w:color w:val="auto"/>
          <w:shd w:val="clear" w:color="auto" w:fill="auto"/>
          <w:lang w:val="es-ES" w:eastAsia="en-US"/>
        </w:rPr>
      </w:pPr>
      <w:r w:rsidRPr="00BE6715">
        <w:rPr>
          <w:rFonts w:eastAsiaTheme="minorHAnsi"/>
          <w:color w:val="auto"/>
          <w:shd w:val="clear" w:color="auto" w:fill="auto"/>
          <w:lang w:val="es-ES" w:eastAsia="en-US"/>
        </w:rPr>
        <w:t>Material and method. Transversal study. MBI-SS Instrument (burnout), Hamilton Anxiety Scale and Beck Depression Scale was applied. Univariate and bivariate descriptive analysis, association with anxiety and depression and differences according to semester and school shift. Analysis SPSS 15.0</w:t>
      </w:r>
    </w:p>
    <w:p w:rsidR="00BE6715" w:rsidRPr="00BE6715" w:rsidRDefault="00BE6715" w:rsidP="00BE6715">
      <w:pPr>
        <w:shd w:val="clear" w:color="auto" w:fill="auto"/>
        <w:spacing w:line="360" w:lineRule="auto"/>
        <w:rPr>
          <w:rFonts w:eastAsiaTheme="minorHAnsi"/>
          <w:color w:val="auto"/>
          <w:shd w:val="clear" w:color="auto" w:fill="auto"/>
          <w:lang w:val="es-ES" w:eastAsia="en-US"/>
        </w:rPr>
      </w:pPr>
      <w:r w:rsidRPr="00BE6715">
        <w:rPr>
          <w:rFonts w:eastAsiaTheme="minorHAnsi"/>
          <w:color w:val="auto"/>
          <w:shd w:val="clear" w:color="auto" w:fill="auto"/>
          <w:lang w:val="es-ES" w:eastAsia="en-US"/>
        </w:rPr>
        <w:t xml:space="preserve">Results. 261 students, mean age 22.3 ± 6.3 years. 161 morning and 100 afternoon. 48 met the criteria for documenting and Burnout (18.4%). predominant involvement of the dimension "emotional involvement" (40) and smaller dimensions "academic efficiency" and "cynicism". Eleven (4.2%) had scores above 50% in Hamilton scale and 54 (20.7%) between 25 and 50%, predominantly psychological factor on somatic. Fourteen (5.4%) have moderate to severe and 40 (15.3%) or intermittent mild depression. The first semesters have higher than recent emotional involvement (p &lt;0.05) higher rate of depression and </w:t>
      </w:r>
      <w:r w:rsidRPr="00BE6715">
        <w:rPr>
          <w:rFonts w:eastAsiaTheme="minorHAnsi"/>
          <w:color w:val="auto"/>
          <w:shd w:val="clear" w:color="auto" w:fill="auto"/>
          <w:lang w:val="es-ES" w:eastAsia="en-US"/>
        </w:rPr>
        <w:lastRenderedPageBreak/>
        <w:t>anxiety (p &lt;0.001). There runs significant relationship (p &lt;0.001) between anxiety and depression (r = 0.667) between emotional involvement and anxiety (r = 0.491) and depression (r = 0.392).</w:t>
      </w:r>
    </w:p>
    <w:p w:rsidR="00BE6715" w:rsidRPr="00BE6715" w:rsidRDefault="00BE6715" w:rsidP="00BE6715">
      <w:pPr>
        <w:shd w:val="clear" w:color="auto" w:fill="auto"/>
        <w:spacing w:line="360" w:lineRule="auto"/>
        <w:rPr>
          <w:rFonts w:eastAsiaTheme="minorHAnsi"/>
          <w:color w:val="auto"/>
          <w:shd w:val="clear" w:color="auto" w:fill="auto"/>
          <w:lang w:val="es-ES" w:eastAsia="en-US"/>
        </w:rPr>
      </w:pPr>
    </w:p>
    <w:p w:rsidR="00BE6715" w:rsidRPr="00BE6715" w:rsidRDefault="00BE6715" w:rsidP="00BE6715">
      <w:pPr>
        <w:shd w:val="clear" w:color="auto" w:fill="auto"/>
        <w:spacing w:line="360" w:lineRule="auto"/>
        <w:rPr>
          <w:rFonts w:asciiTheme="minorHAnsi" w:eastAsiaTheme="minorHAnsi" w:hAnsiTheme="minorHAnsi" w:cstheme="minorHAnsi"/>
          <w:color w:val="auto"/>
          <w:shd w:val="clear" w:color="auto" w:fill="auto"/>
          <w:lang w:val="es-ES" w:eastAsia="en-US"/>
        </w:rPr>
      </w:pPr>
      <w:r w:rsidRPr="00BE6715">
        <w:rPr>
          <w:rFonts w:eastAsiaTheme="minorHAnsi"/>
          <w:color w:val="auto"/>
          <w:shd w:val="clear" w:color="auto" w:fill="auto"/>
          <w:lang w:val="es-ES" w:eastAsia="en-US"/>
        </w:rPr>
        <w:t>Conclusions. High frequency burnout. Greater involvement in emotional exhaustion in the first semester. Association with anxiety and depression. It is an area of ​​opportunity for tutorials concise and targeted actions.</w:t>
      </w:r>
    </w:p>
    <w:p w:rsidR="00BE6715" w:rsidRPr="00BE6715" w:rsidRDefault="00BE6715" w:rsidP="00BE6715">
      <w:pPr>
        <w:shd w:val="clear" w:color="auto" w:fill="auto"/>
        <w:spacing w:line="360" w:lineRule="auto"/>
        <w:rPr>
          <w:rFonts w:asciiTheme="minorHAnsi" w:eastAsiaTheme="minorHAnsi" w:hAnsiTheme="minorHAnsi" w:cstheme="minorHAnsi"/>
          <w:color w:val="auto"/>
          <w:shd w:val="clear" w:color="auto" w:fill="auto"/>
          <w:lang w:val="es-ES" w:eastAsia="en-US"/>
        </w:rPr>
      </w:pPr>
    </w:p>
    <w:p w:rsidR="00BE6715" w:rsidRDefault="00BE6715" w:rsidP="00BE6715">
      <w:pPr>
        <w:shd w:val="clear" w:color="auto" w:fill="auto"/>
        <w:spacing w:line="360" w:lineRule="auto"/>
        <w:rPr>
          <w:rFonts w:eastAsiaTheme="minorHAnsi"/>
          <w:color w:val="auto"/>
          <w:shd w:val="clear" w:color="auto" w:fill="auto"/>
          <w:lang w:val="es-ES" w:eastAsia="en-US"/>
        </w:rPr>
      </w:pPr>
      <w:r w:rsidRPr="00BE6715">
        <w:rPr>
          <w:rFonts w:asciiTheme="minorHAnsi" w:eastAsiaTheme="minorHAnsi" w:hAnsiTheme="minorHAnsi" w:cstheme="minorHAnsi"/>
          <w:color w:val="7030A0"/>
          <w:sz w:val="28"/>
          <w:shd w:val="clear" w:color="auto" w:fill="auto"/>
          <w:lang w:val="es-ES" w:eastAsia="en-US"/>
        </w:rPr>
        <w:t>Key words:</w:t>
      </w:r>
      <w:r w:rsidRPr="00BE6715">
        <w:rPr>
          <w:rFonts w:asciiTheme="minorHAnsi" w:eastAsiaTheme="minorHAnsi" w:hAnsiTheme="minorHAnsi" w:cstheme="minorHAnsi"/>
          <w:color w:val="auto"/>
          <w:shd w:val="clear" w:color="auto" w:fill="auto"/>
          <w:lang w:val="es-ES" w:eastAsia="en-US"/>
        </w:rPr>
        <w:t xml:space="preserve"> </w:t>
      </w:r>
      <w:r w:rsidRPr="00BE6715">
        <w:rPr>
          <w:rFonts w:eastAsiaTheme="minorHAnsi"/>
          <w:color w:val="auto"/>
          <w:shd w:val="clear" w:color="auto" w:fill="auto"/>
          <w:lang w:val="es-ES" w:eastAsia="en-US"/>
        </w:rPr>
        <w:t>Burnout, Anxiety, Depression, Emotional exhaustion, tutoring strategies.</w:t>
      </w:r>
    </w:p>
    <w:p w:rsidR="00BE6715" w:rsidRDefault="00BE6715" w:rsidP="00BE6715">
      <w:pPr>
        <w:shd w:val="clear" w:color="auto" w:fill="auto"/>
        <w:spacing w:line="360" w:lineRule="auto"/>
        <w:rPr>
          <w:rFonts w:asciiTheme="minorHAnsi" w:eastAsiaTheme="minorHAnsi" w:hAnsiTheme="minorHAnsi" w:cstheme="minorHAnsi"/>
          <w:color w:val="auto"/>
          <w:shd w:val="clear" w:color="auto" w:fill="auto"/>
          <w:lang w:val="es-ES" w:eastAsia="en-US"/>
        </w:rPr>
      </w:pPr>
      <w:r w:rsidRPr="002476AA">
        <w:rPr>
          <w:b/>
          <w:lang w:val="en-US"/>
        </w:rPr>
        <w:t>Fecha recepción:</w:t>
      </w:r>
      <w:r w:rsidRPr="002476AA">
        <w:rPr>
          <w:lang w:val="en-US"/>
        </w:rPr>
        <w:t xml:space="preserve">   </w:t>
      </w:r>
      <w:r>
        <w:rPr>
          <w:lang w:val="en-US"/>
        </w:rPr>
        <w:t>Julio</w:t>
      </w:r>
      <w:r w:rsidRPr="002476AA">
        <w:rPr>
          <w:lang w:val="en-US"/>
        </w:rPr>
        <w:t xml:space="preserve"> 201</w:t>
      </w:r>
      <w:r>
        <w:rPr>
          <w:lang w:val="en-US"/>
        </w:rPr>
        <w:t>5</w:t>
      </w:r>
      <w:r w:rsidRPr="002476AA">
        <w:rPr>
          <w:lang w:val="en-US"/>
        </w:rPr>
        <w:t xml:space="preserve">         </w:t>
      </w:r>
      <w:r>
        <w:rPr>
          <w:lang w:val="en-US"/>
        </w:rPr>
        <w:t xml:space="preserve">                             </w:t>
      </w:r>
      <w:r w:rsidRPr="002476AA">
        <w:rPr>
          <w:lang w:val="en-US"/>
        </w:rPr>
        <w:t xml:space="preserve"> </w:t>
      </w:r>
      <w:r w:rsidRPr="002476AA">
        <w:rPr>
          <w:b/>
          <w:lang w:val="en-US"/>
        </w:rPr>
        <w:t>Fecha aceptación:</w:t>
      </w:r>
      <w:r w:rsidRPr="002476AA">
        <w:rPr>
          <w:lang w:val="en-US"/>
        </w:rPr>
        <w:t xml:space="preserve"> </w:t>
      </w:r>
      <w:r>
        <w:rPr>
          <w:lang w:val="en-US"/>
        </w:rPr>
        <w:t>Octubre</w:t>
      </w:r>
      <w:r w:rsidRPr="002476AA">
        <w:rPr>
          <w:lang w:val="en-US"/>
        </w:rPr>
        <w:t xml:space="preserve"> 201</w:t>
      </w:r>
      <w:r>
        <w:rPr>
          <w:lang w:val="en-US"/>
        </w:rPr>
        <w:t>5</w:t>
      </w:r>
    </w:p>
    <w:p w:rsidR="009E4745" w:rsidRPr="009E4745" w:rsidRDefault="00D83706" w:rsidP="009E4745">
      <w:pPr>
        <w:shd w:val="clear" w:color="auto" w:fill="auto"/>
        <w:spacing w:line="360" w:lineRule="auto"/>
        <w:rPr>
          <w:rFonts w:asciiTheme="minorHAnsi" w:eastAsiaTheme="minorHAnsi" w:hAnsiTheme="minorHAnsi" w:cstheme="minorHAnsi"/>
          <w:color w:val="auto"/>
          <w:shd w:val="clear" w:color="auto" w:fill="auto"/>
          <w:lang w:val="es-ES" w:eastAsia="en-US"/>
        </w:rPr>
      </w:pPr>
      <w:r>
        <w:rPr>
          <w:rFonts w:asciiTheme="minorHAnsi" w:eastAsiaTheme="minorHAnsi" w:hAnsiTheme="minorHAnsi" w:cstheme="minorHAnsi"/>
          <w:color w:val="auto"/>
          <w:shd w:val="clear" w:color="auto" w:fill="auto"/>
          <w:lang w:val="es-ES" w:eastAsia="en-US"/>
        </w:rPr>
        <w:pict>
          <v:rect id="_x0000_i1025" style="width:0;height:1.5pt" o:hralign="center" o:hrstd="t" o:hr="t" fillcolor="#a0a0a0" stroked="f"/>
        </w:pict>
      </w:r>
    </w:p>
    <w:p w:rsidR="009E4745" w:rsidRDefault="009E4745" w:rsidP="009E4745">
      <w:pPr>
        <w:shd w:val="clear" w:color="auto" w:fill="auto"/>
        <w:spacing w:line="360" w:lineRule="auto"/>
        <w:rPr>
          <w:rFonts w:asciiTheme="minorHAnsi" w:eastAsiaTheme="minorHAnsi" w:hAnsiTheme="minorHAnsi" w:cstheme="minorHAnsi"/>
          <w:color w:val="auto"/>
          <w:shd w:val="clear" w:color="auto" w:fill="auto"/>
          <w:lang w:val="es-ES" w:eastAsia="en-US"/>
        </w:rPr>
      </w:pPr>
    </w:p>
    <w:p w:rsidR="00BE6715" w:rsidRDefault="00BE6715" w:rsidP="009E4745">
      <w:pPr>
        <w:shd w:val="clear" w:color="auto" w:fill="auto"/>
        <w:spacing w:line="360" w:lineRule="auto"/>
        <w:rPr>
          <w:rFonts w:asciiTheme="minorHAnsi" w:eastAsiaTheme="minorHAnsi" w:hAnsiTheme="minorHAnsi" w:cstheme="minorHAnsi"/>
          <w:color w:val="7030A0"/>
          <w:sz w:val="28"/>
          <w:shd w:val="clear" w:color="auto" w:fill="auto"/>
          <w:lang w:val="es-ES" w:eastAsia="en-US"/>
        </w:rPr>
      </w:pPr>
    </w:p>
    <w:p w:rsidR="009E4745" w:rsidRPr="009E4745" w:rsidRDefault="009E4745" w:rsidP="009E4745">
      <w:pPr>
        <w:shd w:val="clear" w:color="auto" w:fill="auto"/>
        <w:spacing w:line="360" w:lineRule="auto"/>
        <w:rPr>
          <w:rFonts w:asciiTheme="minorHAnsi" w:eastAsiaTheme="minorHAnsi" w:hAnsiTheme="minorHAnsi" w:cstheme="minorHAnsi"/>
          <w:color w:val="7030A0"/>
          <w:sz w:val="28"/>
          <w:shd w:val="clear" w:color="auto" w:fill="auto"/>
          <w:lang w:val="es-ES" w:eastAsia="en-US"/>
        </w:rPr>
      </w:pPr>
      <w:r w:rsidRPr="009E4745">
        <w:rPr>
          <w:rFonts w:asciiTheme="minorHAnsi" w:eastAsiaTheme="minorHAnsi" w:hAnsiTheme="minorHAnsi" w:cstheme="minorHAnsi"/>
          <w:color w:val="7030A0"/>
          <w:sz w:val="28"/>
          <w:shd w:val="clear" w:color="auto" w:fill="auto"/>
          <w:lang w:val="es-ES" w:eastAsia="en-US"/>
        </w:rPr>
        <w:t>Introducción</w:t>
      </w:r>
    </w:p>
    <w:p w:rsidR="009E4745" w:rsidRPr="00BE6715" w:rsidRDefault="009E4745" w:rsidP="009E4745">
      <w:pPr>
        <w:shd w:val="clear" w:color="auto" w:fill="auto"/>
        <w:spacing w:line="360" w:lineRule="auto"/>
        <w:rPr>
          <w:rFonts w:eastAsiaTheme="minorHAnsi"/>
          <w:color w:val="auto"/>
          <w:shd w:val="clear" w:color="auto" w:fill="auto"/>
          <w:lang w:val="es-ES" w:eastAsia="en-US"/>
        </w:rPr>
      </w:pPr>
      <w:r w:rsidRPr="00BE6715">
        <w:rPr>
          <w:rFonts w:eastAsiaTheme="minorHAnsi"/>
          <w:color w:val="auto"/>
          <w:shd w:val="clear" w:color="auto" w:fill="auto"/>
          <w:lang w:val="es-ES" w:eastAsia="en-US"/>
        </w:rPr>
        <w:t>La preocupación de las universidades por ofrecer una enseñanza de calidad supone considerar todas las variables implicadas en el proceso enseñanza-aprendizaje, y el bienestar de los estudiantes es un elemento clave en este proceso (Martínez y Márquez 2005).  Uno de los factores que altera dicho bienestar en la población estudiantil es el estrés, término anglosajón que significa tensión, presión o coacción  (Seyle, 1960), y en particular el estrés académico, entendido este como la tensión producida por el ámbito educativo (Caldera 2007). El adiestramiento, las actividades de aprendizaje y la lucha por la superación académica son aspectos que pueden convertirse en fuentes de estrés, que requieren de mecanismos de adaptación para su manejo.</w:t>
      </w:r>
    </w:p>
    <w:p w:rsidR="009E4745" w:rsidRPr="00BE6715" w:rsidRDefault="009E4745" w:rsidP="009E4745">
      <w:pPr>
        <w:shd w:val="clear" w:color="auto" w:fill="auto"/>
        <w:spacing w:line="360" w:lineRule="auto"/>
        <w:rPr>
          <w:rFonts w:eastAsiaTheme="minorHAnsi"/>
          <w:color w:val="auto"/>
          <w:shd w:val="clear" w:color="auto" w:fill="auto"/>
          <w:lang w:val="es-ES" w:eastAsia="en-US"/>
        </w:rPr>
      </w:pPr>
      <w:r w:rsidRPr="00BE6715">
        <w:rPr>
          <w:rFonts w:eastAsiaTheme="minorHAnsi"/>
          <w:color w:val="auto"/>
          <w:shd w:val="clear" w:color="auto" w:fill="auto"/>
          <w:lang w:val="es-ES" w:eastAsia="en-US"/>
        </w:rPr>
        <w:t xml:space="preserve">Cuando el sujeto no se logra adaptar a los eventos estresantes,  puede desencadenarse sensaciones de no poder dar más de sí mismo y responder con actitud negativa de autocrítica, desvalorización y pérdida de interés de la trascendencia y valor frente al estudio (cinismo) (Gil Montes, 2003), lo cual puede ocasionar falta de rendimiento académico, ansiedad o el sentimiento crónico de cansancio emocional, fatiga física y pérdida de interés, que desde 1974 Freuderbergerlo refiere como burnout (Freudenberger, 1974) y al cual </w:t>
      </w:r>
      <w:r w:rsidRPr="00BE6715">
        <w:rPr>
          <w:rFonts w:eastAsiaTheme="minorHAnsi"/>
          <w:color w:val="auto"/>
          <w:shd w:val="clear" w:color="auto" w:fill="auto"/>
          <w:lang w:val="es-ES" w:eastAsia="en-US"/>
        </w:rPr>
        <w:lastRenderedPageBreak/>
        <w:t>Maslach lo define en 1976  como un “síndrome caracterizado por estrés crónico producido por el contacto con los clientes que lleva a la extenuación y distanciamiento emocional con los clientes en el trabajo y produce dudas completamente en su capacidad para realizarlo” (Maslach, 1976).</w:t>
      </w:r>
    </w:p>
    <w:p w:rsidR="009E4745" w:rsidRPr="00BE6715" w:rsidRDefault="009E4745" w:rsidP="009E4745">
      <w:pPr>
        <w:shd w:val="clear" w:color="auto" w:fill="auto"/>
        <w:spacing w:line="360" w:lineRule="auto"/>
        <w:rPr>
          <w:rFonts w:eastAsiaTheme="minorHAnsi"/>
          <w:color w:val="auto"/>
          <w:shd w:val="clear" w:color="auto" w:fill="auto"/>
          <w:lang w:val="es-ES" w:eastAsia="en-US"/>
        </w:rPr>
      </w:pPr>
    </w:p>
    <w:p w:rsidR="009E4745" w:rsidRPr="00BE6715" w:rsidRDefault="009E4745" w:rsidP="009E4745">
      <w:pPr>
        <w:shd w:val="clear" w:color="auto" w:fill="auto"/>
        <w:spacing w:line="360" w:lineRule="auto"/>
        <w:rPr>
          <w:rFonts w:eastAsiaTheme="minorHAnsi"/>
          <w:color w:val="auto"/>
          <w:shd w:val="clear" w:color="auto" w:fill="auto"/>
          <w:lang w:val="es-ES" w:eastAsia="en-US"/>
        </w:rPr>
      </w:pPr>
      <w:r w:rsidRPr="00BE6715">
        <w:rPr>
          <w:rFonts w:eastAsiaTheme="minorHAnsi"/>
          <w:color w:val="auto"/>
          <w:shd w:val="clear" w:color="auto" w:fill="auto"/>
          <w:lang w:val="es-ES" w:eastAsia="en-US"/>
        </w:rPr>
        <w:t>Actualmente se acepta que el burnout es un síndrome tridimensional de agotamiento emocional, despersonalización y pérdida de realización personal en el trabajo. La dimensión de agotamiento emocional, considerada por Maslach (1993) como la más próxima a una variable de estrés, se caracteriza por sentimientos de desgaste y agotamiento de los recursos emocionales. Es un sentimiento de que nada se puede ofrecer a los demás. La despersonalización se refiere al sentimiento de endurecimiento  emocional, desapego, desarraigo, pérdida de la capacidad de contacto y a la adopción de actitudes negativas, frías, distanciadas h acia los receptores de los servicios. Por último, la falta de realización personal corresponde a la aparición de sentimientos negativos de inadecuación, falta de competencia y eficacia profesional, disminución de las expectativas personales que implica una autoevaluación negativa donde se puede desarrollar rechazo a sí mismo y hacia los logros personales así como sentimientos de fracaso y baja autoestima.</w:t>
      </w:r>
    </w:p>
    <w:p w:rsidR="009E4745" w:rsidRPr="00BE6715" w:rsidRDefault="009E4745" w:rsidP="009E4745">
      <w:pPr>
        <w:shd w:val="clear" w:color="auto" w:fill="auto"/>
        <w:spacing w:line="360" w:lineRule="auto"/>
        <w:rPr>
          <w:rFonts w:eastAsiaTheme="minorHAnsi"/>
          <w:color w:val="auto"/>
          <w:shd w:val="clear" w:color="auto" w:fill="auto"/>
          <w:lang w:val="es-ES" w:eastAsia="en-US"/>
        </w:rPr>
      </w:pPr>
    </w:p>
    <w:p w:rsidR="009E4745" w:rsidRPr="00BE6715" w:rsidRDefault="009E4745" w:rsidP="009E4745">
      <w:pPr>
        <w:shd w:val="clear" w:color="auto" w:fill="auto"/>
        <w:spacing w:line="360" w:lineRule="auto"/>
        <w:rPr>
          <w:rFonts w:eastAsiaTheme="minorHAnsi"/>
          <w:color w:val="auto"/>
          <w:shd w:val="clear" w:color="auto" w:fill="auto"/>
          <w:lang w:val="es-ES" w:eastAsia="en-US"/>
        </w:rPr>
      </w:pPr>
      <w:r w:rsidRPr="00BE6715">
        <w:rPr>
          <w:rFonts w:eastAsiaTheme="minorHAnsi"/>
          <w:color w:val="auto"/>
          <w:shd w:val="clear" w:color="auto" w:fill="auto"/>
          <w:lang w:val="es-ES" w:eastAsia="en-US"/>
        </w:rPr>
        <w:t xml:space="preserve">Maslach y Leiter (1997) proponen una reconceptualización del síndrome de burnout como una “crisis general” en la relación de la persona con su trabajo. Crisis que se ha venido definiendo en función de tres dimensiones más genéricas que las anteriormente propuestas y que no se refieren exclusivamente al trabajo de ayuda a personas sino que son aplicables a cualquier situación laboral. Estas dimensiones son: agotamiento emocional y también físico; actitud cínica de distanciamiento mental hacia el trabajo y sentimientos de inadecuación profesional y de pérdida de confianza en las propias capacidades profesionales. De estas tres dimensiones las dos primeras, agotamiento y la distancia mental (entendida tanto como despersonalización como cinismo) se han considerado las dimensiones centrales o “corazón del burnout” (Green, 1991) </w:t>
      </w:r>
    </w:p>
    <w:p w:rsidR="009E4745" w:rsidRPr="00BE6715" w:rsidRDefault="009E4745" w:rsidP="009E4745">
      <w:pPr>
        <w:shd w:val="clear" w:color="auto" w:fill="auto"/>
        <w:spacing w:line="360" w:lineRule="auto"/>
        <w:rPr>
          <w:rFonts w:eastAsiaTheme="minorHAnsi"/>
          <w:color w:val="auto"/>
          <w:shd w:val="clear" w:color="auto" w:fill="auto"/>
          <w:lang w:val="es-ES" w:eastAsia="en-US"/>
        </w:rPr>
      </w:pPr>
    </w:p>
    <w:p w:rsidR="009E4745" w:rsidRPr="00BE6715" w:rsidRDefault="009E4745" w:rsidP="009E4745">
      <w:pPr>
        <w:shd w:val="clear" w:color="auto" w:fill="auto"/>
        <w:spacing w:line="360" w:lineRule="auto"/>
        <w:rPr>
          <w:rFonts w:eastAsiaTheme="minorHAnsi"/>
          <w:color w:val="auto"/>
          <w:shd w:val="clear" w:color="auto" w:fill="auto"/>
          <w:lang w:val="es-ES" w:eastAsia="en-US"/>
        </w:rPr>
      </w:pPr>
      <w:r w:rsidRPr="00BE6715">
        <w:rPr>
          <w:rFonts w:eastAsiaTheme="minorHAnsi"/>
          <w:color w:val="auto"/>
          <w:shd w:val="clear" w:color="auto" w:fill="auto"/>
          <w:lang w:val="es-ES" w:eastAsia="en-US"/>
        </w:rPr>
        <w:lastRenderedPageBreak/>
        <w:t>Existen dos enfoques para el estudio del Burnout. El primero, originado desde el trabajo de Maslach y Jackson (Maslach, 1976) que define este síndrome a través de un constructo tridimensional: agotamiento emocional, despersonalización y baja realización personal. El segundo enfoque que inicia con el trabajo de Pines, Aronson y Kufry (1981), estudia este síndrome mediante un constructo unidimensional: agotamiento emocional. Este enfoque del síndrome de burnoutse fortaleció con el trabajo de Shirom (en Appels, 2006), quien al revisar los estudios de validación del MaslachBurnoutInventory, pudo observar que, de las tres escalas de las que se compone este inventario, la escala de agotamiento emocional es la que correlaciona mejor con las variables relacionadas con el trabajo. A partir de dicho estudio, se concluyó que el contenido central del burnout tiene que ver con una pérdida de las fuentes de energía del sujeto, caracterizada por una combinación de fatiga física, cansancio emocional y cansancio cognitivo.Bajo este enfoque conceptual se puede definir al síndrome de burnout como un estado de agotamiento físico, emocional y cognitivo producido por el involucramiento prolongado en situaciones generadoras de estrés. Esto permite estudiar al burnout no solamente en los trabajadores, sino también en personas que no lo son, como es el caso de los estudiantes</w:t>
      </w:r>
    </w:p>
    <w:p w:rsidR="009E4745" w:rsidRPr="00BE6715" w:rsidRDefault="009E4745" w:rsidP="009E4745">
      <w:pPr>
        <w:shd w:val="clear" w:color="auto" w:fill="auto"/>
        <w:spacing w:line="360" w:lineRule="auto"/>
        <w:rPr>
          <w:rFonts w:eastAsiaTheme="minorHAnsi"/>
          <w:color w:val="auto"/>
          <w:shd w:val="clear" w:color="auto" w:fill="auto"/>
          <w:lang w:val="es-ES" w:eastAsia="en-US"/>
        </w:rPr>
      </w:pPr>
    </w:p>
    <w:p w:rsidR="009E4745" w:rsidRPr="00BE6715" w:rsidRDefault="009E4745" w:rsidP="009E4745">
      <w:pPr>
        <w:shd w:val="clear" w:color="auto" w:fill="auto"/>
        <w:spacing w:line="360" w:lineRule="auto"/>
        <w:rPr>
          <w:rFonts w:eastAsiaTheme="minorHAnsi"/>
          <w:color w:val="auto"/>
          <w:shd w:val="clear" w:color="auto" w:fill="auto"/>
          <w:lang w:val="es-ES" w:eastAsia="en-US"/>
        </w:rPr>
      </w:pPr>
      <w:r w:rsidRPr="00BE6715">
        <w:rPr>
          <w:rFonts w:eastAsiaTheme="minorHAnsi"/>
          <w:color w:val="auto"/>
          <w:shd w:val="clear" w:color="auto" w:fill="auto"/>
          <w:lang w:val="es-ES" w:eastAsia="en-US"/>
        </w:rPr>
        <w:t>Ha sido muy recientemente cuando el burnout ha comenzado a estudiarse en ámbitos no profesionales como es el caso de los estudiantes (Schaufeli et al, 2002). Los estudiantes con altos niveles de burnout se sienten agotados en virtud de las exigencias del estudio, tienen una actitud cínica y distante hacia el estudio y se sienten ineficaces como estudiantes (Martínez et al, 2002). Las situaciones de estrés académico que se han reportado como más frecuentes son presentar un examen escrito, preparar un examen próximo, esperar los resultados de un examen, aunque también se ha reportado la excesiva cantidad de material para estudiar, la falta de tiempo para estudiar y entrar o salir del aula cuando ya comenzó la clase (Feldman, 2008)</w:t>
      </w:r>
    </w:p>
    <w:p w:rsidR="009E4745" w:rsidRPr="00BE6715" w:rsidRDefault="009E4745" w:rsidP="009E4745">
      <w:pPr>
        <w:shd w:val="clear" w:color="auto" w:fill="auto"/>
        <w:spacing w:line="360" w:lineRule="auto"/>
        <w:rPr>
          <w:rFonts w:eastAsiaTheme="minorHAnsi"/>
          <w:color w:val="auto"/>
          <w:shd w:val="clear" w:color="auto" w:fill="auto"/>
          <w:lang w:val="es-ES" w:eastAsia="en-US"/>
        </w:rPr>
      </w:pPr>
    </w:p>
    <w:p w:rsidR="009E4745" w:rsidRPr="00BE6715" w:rsidRDefault="009E4745" w:rsidP="009E4745">
      <w:pPr>
        <w:shd w:val="clear" w:color="auto" w:fill="auto"/>
        <w:spacing w:line="360" w:lineRule="auto"/>
        <w:rPr>
          <w:rFonts w:eastAsiaTheme="minorHAnsi"/>
          <w:color w:val="auto"/>
          <w:shd w:val="clear" w:color="auto" w:fill="auto"/>
          <w:lang w:val="es-ES" w:eastAsia="en-US"/>
        </w:rPr>
      </w:pPr>
      <w:r w:rsidRPr="00BE6715">
        <w:rPr>
          <w:rFonts w:eastAsiaTheme="minorHAnsi"/>
          <w:color w:val="auto"/>
          <w:shd w:val="clear" w:color="auto" w:fill="auto"/>
          <w:lang w:val="es-ES" w:eastAsia="en-US"/>
        </w:rPr>
        <w:t xml:space="preserve">La frecuencia de presentación de burnout es muy variable, por ejemplo Celis y col en Perú  reportan una frecuencia en estudiantes de medicina entre 8.9 y 26.4% de acuerdo al grado cursado (Celis et al, 2001), mientras en Colombia en estudiantes de psiquiatría en 2007 se </w:t>
      </w:r>
      <w:r w:rsidRPr="00BE6715">
        <w:rPr>
          <w:rFonts w:eastAsiaTheme="minorHAnsi"/>
          <w:color w:val="auto"/>
          <w:shd w:val="clear" w:color="auto" w:fill="auto"/>
          <w:lang w:val="es-ES" w:eastAsia="en-US"/>
        </w:rPr>
        <w:lastRenderedPageBreak/>
        <w:t>reporta una frecuencia de 46% (Caballero et al, 2007). Otros estudios reportan frecuencias que van de 8 a 74% (Aranda et al, 2003; Borda et al, 2007; Cano y Martin, 2005; Carlotto et al, 2005).</w:t>
      </w:r>
    </w:p>
    <w:p w:rsidR="009E4745" w:rsidRPr="00BE6715" w:rsidRDefault="009E4745" w:rsidP="009E4745">
      <w:pPr>
        <w:shd w:val="clear" w:color="auto" w:fill="auto"/>
        <w:spacing w:line="360" w:lineRule="auto"/>
        <w:rPr>
          <w:rFonts w:eastAsiaTheme="minorHAnsi"/>
          <w:color w:val="auto"/>
          <w:shd w:val="clear" w:color="auto" w:fill="auto"/>
          <w:lang w:val="es-ES" w:eastAsia="en-US"/>
        </w:rPr>
      </w:pPr>
    </w:p>
    <w:p w:rsidR="009E4745" w:rsidRPr="00BE6715" w:rsidRDefault="009E4745" w:rsidP="009E4745">
      <w:pPr>
        <w:shd w:val="clear" w:color="auto" w:fill="auto"/>
        <w:spacing w:line="360" w:lineRule="auto"/>
        <w:rPr>
          <w:rFonts w:eastAsiaTheme="minorHAnsi"/>
          <w:color w:val="auto"/>
          <w:shd w:val="clear" w:color="auto" w:fill="auto"/>
          <w:lang w:val="es-ES" w:eastAsia="en-US"/>
        </w:rPr>
      </w:pPr>
      <w:r w:rsidRPr="00BE6715">
        <w:rPr>
          <w:rFonts w:eastAsiaTheme="minorHAnsi"/>
          <w:color w:val="auto"/>
          <w:shd w:val="clear" w:color="auto" w:fill="auto"/>
          <w:lang w:val="es-ES" w:eastAsia="en-US"/>
        </w:rPr>
        <w:t>La divergencia en frecuencia de burnout, la ausencia de estudios de esta naturaleza en nuestro medio, y la utilidad que puede tener esta información como punto de partida de estrategias tutoriales  que permitan disminuir el estrés académico, nos lleva a efectuar el presente estudio buscando la frecuencia de burnout y su asociación con la ansiedad y la depresión en una Escuela de Licenciatura en Enfermería.</w:t>
      </w:r>
    </w:p>
    <w:p w:rsidR="009E4745" w:rsidRPr="00BE6715" w:rsidRDefault="009E4745" w:rsidP="009E4745">
      <w:pPr>
        <w:shd w:val="clear" w:color="auto" w:fill="auto"/>
        <w:spacing w:line="360" w:lineRule="auto"/>
        <w:rPr>
          <w:rFonts w:eastAsiaTheme="minorHAnsi"/>
          <w:color w:val="auto"/>
          <w:shd w:val="clear" w:color="auto" w:fill="auto"/>
          <w:lang w:val="es-ES" w:eastAsia="en-US"/>
        </w:rPr>
      </w:pPr>
    </w:p>
    <w:p w:rsidR="009E4745" w:rsidRPr="00BE6715" w:rsidRDefault="009E4745" w:rsidP="009E4745">
      <w:pPr>
        <w:shd w:val="clear" w:color="auto" w:fill="auto"/>
        <w:spacing w:line="360" w:lineRule="auto"/>
        <w:rPr>
          <w:rFonts w:eastAsiaTheme="minorHAnsi"/>
          <w:color w:val="7030A0"/>
          <w:shd w:val="clear" w:color="auto" w:fill="auto"/>
          <w:lang w:val="es-ES" w:eastAsia="en-US"/>
        </w:rPr>
      </w:pPr>
      <w:r w:rsidRPr="00BE6715">
        <w:rPr>
          <w:rFonts w:eastAsiaTheme="minorHAnsi"/>
          <w:color w:val="7030A0"/>
          <w:shd w:val="clear" w:color="auto" w:fill="auto"/>
          <w:lang w:val="es-ES" w:eastAsia="en-US"/>
        </w:rPr>
        <w:t>Contenido</w:t>
      </w:r>
    </w:p>
    <w:p w:rsidR="009E4745" w:rsidRPr="00BE6715" w:rsidRDefault="009E4745" w:rsidP="009E4745">
      <w:pPr>
        <w:shd w:val="clear" w:color="auto" w:fill="auto"/>
        <w:spacing w:line="360" w:lineRule="auto"/>
        <w:rPr>
          <w:rFonts w:eastAsiaTheme="minorHAnsi"/>
          <w:color w:val="auto"/>
          <w:shd w:val="clear" w:color="auto" w:fill="auto"/>
          <w:lang w:val="es-ES" w:eastAsia="en-US"/>
        </w:rPr>
      </w:pPr>
    </w:p>
    <w:p w:rsidR="009E4745" w:rsidRPr="00BE6715" w:rsidRDefault="009E4745" w:rsidP="009E4745">
      <w:pPr>
        <w:shd w:val="clear" w:color="auto" w:fill="auto"/>
        <w:spacing w:line="360" w:lineRule="auto"/>
        <w:rPr>
          <w:rFonts w:eastAsiaTheme="minorHAnsi"/>
          <w:color w:val="auto"/>
          <w:shd w:val="clear" w:color="auto" w:fill="auto"/>
          <w:lang w:val="es-ES" w:eastAsia="en-US"/>
        </w:rPr>
      </w:pPr>
      <w:r w:rsidRPr="00BE6715">
        <w:rPr>
          <w:rFonts w:eastAsiaTheme="minorHAnsi"/>
          <w:color w:val="auto"/>
          <w:shd w:val="clear" w:color="auto" w:fill="auto"/>
          <w:lang w:val="es-ES" w:eastAsia="en-US"/>
        </w:rPr>
        <w:t>MATERIAL Y MÉTODOS:</w:t>
      </w:r>
    </w:p>
    <w:p w:rsidR="009E4745" w:rsidRPr="00BE6715" w:rsidRDefault="009E4745" w:rsidP="009E4745">
      <w:pPr>
        <w:shd w:val="clear" w:color="auto" w:fill="auto"/>
        <w:spacing w:line="360" w:lineRule="auto"/>
        <w:rPr>
          <w:rFonts w:eastAsiaTheme="minorHAnsi"/>
          <w:color w:val="auto"/>
          <w:shd w:val="clear" w:color="auto" w:fill="auto"/>
          <w:lang w:val="es-ES" w:eastAsia="en-US"/>
        </w:rPr>
      </w:pPr>
      <w:r w:rsidRPr="00BE6715">
        <w:rPr>
          <w:rFonts w:eastAsiaTheme="minorHAnsi"/>
          <w:color w:val="auto"/>
          <w:shd w:val="clear" w:color="auto" w:fill="auto"/>
          <w:lang w:val="es-ES" w:eastAsia="en-US"/>
        </w:rPr>
        <w:t>Se efectuó un estudio con diseño transversal, en donde a toda la población estudiantil de una Escuela de Licenciatura en Enfermería, al inicio del ciclo escolar se les invitó a participar en un estudio y se les aplicaron varios instrumentos de captura de datos que son:</w:t>
      </w:r>
    </w:p>
    <w:p w:rsidR="009E4745" w:rsidRPr="00BE6715" w:rsidRDefault="009E4745" w:rsidP="009E4745">
      <w:pPr>
        <w:shd w:val="clear" w:color="auto" w:fill="auto"/>
        <w:spacing w:line="360" w:lineRule="auto"/>
        <w:rPr>
          <w:rFonts w:eastAsiaTheme="minorHAnsi"/>
          <w:color w:val="auto"/>
          <w:shd w:val="clear" w:color="auto" w:fill="auto"/>
          <w:lang w:val="es-ES" w:eastAsia="en-US"/>
        </w:rPr>
      </w:pPr>
    </w:p>
    <w:p w:rsidR="009E4745" w:rsidRPr="00BE6715" w:rsidRDefault="009E4745" w:rsidP="009E4745">
      <w:pPr>
        <w:shd w:val="clear" w:color="auto" w:fill="auto"/>
        <w:spacing w:line="360" w:lineRule="auto"/>
        <w:rPr>
          <w:rFonts w:eastAsiaTheme="minorHAnsi"/>
          <w:color w:val="auto"/>
          <w:shd w:val="clear" w:color="auto" w:fill="auto"/>
          <w:lang w:val="es-ES" w:eastAsia="en-US"/>
        </w:rPr>
      </w:pPr>
      <w:r w:rsidRPr="00BE6715">
        <w:rPr>
          <w:rFonts w:eastAsiaTheme="minorHAnsi"/>
          <w:color w:val="auto"/>
          <w:shd w:val="clear" w:color="auto" w:fill="auto"/>
          <w:lang w:val="es-ES" w:eastAsia="en-US"/>
        </w:rPr>
        <w:t xml:space="preserve"> a) Escala MBI-SS que es una versión modificada del inventario general de burnout, adaptada para la utilización con estudiantes por Schaufeli et al.en 2002 (Schaufeli et al, 2002). El instrumento consta de 16 ítems para la determinación de síndrome de burnot estudiantil, cuya validación se ha efectuado al español con valores de consistencia interna que fluctúan entre 0.79 y 0.83 (Maroco y Tecedeiro, 2009).Su interpretación se puede efectuar tomando en consideración la escala tridimensional e interpretándose como tener burnout con puntuaciones elevadas. En este estudio se transformó la puntuación bruta en porciento de acuerdo a las puntuaciones totales posibles en cada ítem, y posteriormente se trasformaron en cuartiles, de man era que se consideró portador de burnout quien tuviera puntuación superior al 50%  en agotamiento emocional y en cinismo, que equivale a estar en los cuartiles 3 o 4 y puntuación inferior al 50% (cuartiles 1 y 2) de la dimensión eficiencia académica.</w:t>
      </w:r>
    </w:p>
    <w:p w:rsidR="009E4745" w:rsidRPr="00BE6715" w:rsidRDefault="009E4745" w:rsidP="009E4745">
      <w:pPr>
        <w:shd w:val="clear" w:color="auto" w:fill="auto"/>
        <w:spacing w:line="360" w:lineRule="auto"/>
        <w:rPr>
          <w:rFonts w:eastAsiaTheme="minorHAnsi"/>
          <w:color w:val="auto"/>
          <w:shd w:val="clear" w:color="auto" w:fill="auto"/>
          <w:lang w:val="es-ES" w:eastAsia="en-US"/>
        </w:rPr>
      </w:pPr>
    </w:p>
    <w:p w:rsidR="009E4745" w:rsidRPr="00BE6715" w:rsidRDefault="009E4745" w:rsidP="009E4745">
      <w:pPr>
        <w:shd w:val="clear" w:color="auto" w:fill="auto"/>
        <w:spacing w:line="360" w:lineRule="auto"/>
        <w:rPr>
          <w:rFonts w:eastAsiaTheme="minorHAnsi"/>
          <w:color w:val="auto"/>
          <w:shd w:val="clear" w:color="auto" w:fill="auto"/>
          <w:lang w:val="es-ES" w:eastAsia="en-US"/>
        </w:rPr>
      </w:pPr>
      <w:r w:rsidRPr="00BE6715">
        <w:rPr>
          <w:rFonts w:eastAsiaTheme="minorHAnsi"/>
          <w:color w:val="auto"/>
          <w:shd w:val="clear" w:color="auto" w:fill="auto"/>
          <w:lang w:val="es-ES" w:eastAsia="en-US"/>
        </w:rPr>
        <w:lastRenderedPageBreak/>
        <w:t xml:space="preserve"> b) Escala de Ansiedad de Hamilton para exploración de niveles de ansiedad, la cual tiene una consistencia interna de 0.79 a 0.86 de alfa de Crombach y en pruebas test-retest de 0.96. (Lobo et al, 2002) No existe punto de corte para hablar de ansiedad, pero a puntuaciones mayores, mayor nivel de ansiedad,  aunque hay quien propone clasificar como no ansiedad de 0-5 puntos,  ansiedad leve de 6 a 14 puntos y ansiedad moderada a severa ≥15 puntos (Nilson et al 2007).</w:t>
      </w:r>
    </w:p>
    <w:p w:rsidR="009E4745" w:rsidRPr="00BE6715" w:rsidRDefault="009E4745" w:rsidP="009E4745">
      <w:pPr>
        <w:shd w:val="clear" w:color="auto" w:fill="auto"/>
        <w:spacing w:line="360" w:lineRule="auto"/>
        <w:rPr>
          <w:rFonts w:eastAsiaTheme="minorHAnsi"/>
          <w:color w:val="auto"/>
          <w:shd w:val="clear" w:color="auto" w:fill="auto"/>
          <w:lang w:val="es-ES" w:eastAsia="en-US"/>
        </w:rPr>
      </w:pPr>
    </w:p>
    <w:p w:rsidR="009E4745" w:rsidRPr="00BE6715" w:rsidRDefault="009E4745" w:rsidP="009E4745">
      <w:pPr>
        <w:shd w:val="clear" w:color="auto" w:fill="auto"/>
        <w:spacing w:line="360" w:lineRule="auto"/>
        <w:rPr>
          <w:rFonts w:eastAsiaTheme="minorHAnsi"/>
          <w:color w:val="auto"/>
          <w:shd w:val="clear" w:color="auto" w:fill="auto"/>
          <w:lang w:val="es-ES" w:eastAsia="en-US"/>
        </w:rPr>
      </w:pPr>
      <w:r w:rsidRPr="00BE6715">
        <w:rPr>
          <w:rFonts w:eastAsiaTheme="minorHAnsi"/>
          <w:color w:val="auto"/>
          <w:shd w:val="clear" w:color="auto" w:fill="auto"/>
          <w:lang w:val="es-ES" w:eastAsia="en-US"/>
        </w:rPr>
        <w:t xml:space="preserve"> c) Inventario de Beck para determinar depresión, que se encuentra validado en México desde l998 con un alfa de Crombach de 0.89 (Beltrán et al, 2012; Jurado et al 1998) y cuya interpretación se ha aceptado como normal de 1 a 10 puntos, perturbación del estado de ánimo de 11 a 16 puntos, estado de depresión leve o intermitente de 17 a 20 puntos, depresión moderada de 21 a 30 puntos, severa de 31 a 40 y extrema más de 40</w:t>
      </w:r>
    </w:p>
    <w:p w:rsidR="009E4745" w:rsidRPr="00BE6715" w:rsidRDefault="009E4745" w:rsidP="009E4745">
      <w:pPr>
        <w:shd w:val="clear" w:color="auto" w:fill="auto"/>
        <w:spacing w:line="360" w:lineRule="auto"/>
        <w:rPr>
          <w:rFonts w:eastAsiaTheme="minorHAnsi"/>
          <w:color w:val="auto"/>
          <w:shd w:val="clear" w:color="auto" w:fill="auto"/>
          <w:lang w:val="es-ES" w:eastAsia="en-US"/>
        </w:rPr>
      </w:pPr>
    </w:p>
    <w:p w:rsidR="009E4745" w:rsidRPr="00BE6715" w:rsidRDefault="009E4745" w:rsidP="009E4745">
      <w:pPr>
        <w:shd w:val="clear" w:color="auto" w:fill="auto"/>
        <w:spacing w:line="360" w:lineRule="auto"/>
        <w:rPr>
          <w:rFonts w:eastAsiaTheme="minorHAnsi"/>
          <w:color w:val="auto"/>
          <w:shd w:val="clear" w:color="auto" w:fill="auto"/>
          <w:lang w:val="es-ES" w:eastAsia="en-US"/>
        </w:rPr>
      </w:pPr>
      <w:r w:rsidRPr="00BE6715">
        <w:rPr>
          <w:rFonts w:eastAsiaTheme="minorHAnsi"/>
          <w:color w:val="auto"/>
          <w:shd w:val="clear" w:color="auto" w:fill="auto"/>
          <w:lang w:val="es-ES" w:eastAsia="en-US"/>
        </w:rPr>
        <w:t>Los datos se vaciaron en una hoja de cálculo de Excel y fueron analizados en el programa estadístico SPSS 15.0. Se efectuó análisis descriptivo univariado y bivariado para buscar diferencias de acuerdo a semestre cursado y turno escolar.</w:t>
      </w:r>
    </w:p>
    <w:p w:rsidR="009E4745" w:rsidRPr="00BE6715" w:rsidRDefault="009E4745" w:rsidP="009E4745">
      <w:pPr>
        <w:shd w:val="clear" w:color="auto" w:fill="auto"/>
        <w:spacing w:line="360" w:lineRule="auto"/>
        <w:rPr>
          <w:rFonts w:eastAsiaTheme="minorHAnsi"/>
          <w:color w:val="auto"/>
          <w:shd w:val="clear" w:color="auto" w:fill="auto"/>
          <w:lang w:val="es-ES" w:eastAsia="en-US"/>
        </w:rPr>
      </w:pPr>
    </w:p>
    <w:p w:rsidR="009E4745" w:rsidRPr="00BE6715" w:rsidRDefault="009E4745" w:rsidP="009E4745">
      <w:pPr>
        <w:shd w:val="clear" w:color="auto" w:fill="auto"/>
        <w:spacing w:line="360" w:lineRule="auto"/>
        <w:rPr>
          <w:rFonts w:eastAsiaTheme="minorHAnsi"/>
          <w:color w:val="auto"/>
          <w:shd w:val="clear" w:color="auto" w:fill="auto"/>
          <w:lang w:val="es-ES" w:eastAsia="en-US"/>
        </w:rPr>
      </w:pPr>
      <w:r w:rsidRPr="00BE6715">
        <w:rPr>
          <w:rFonts w:eastAsiaTheme="minorHAnsi"/>
          <w:color w:val="auto"/>
          <w:shd w:val="clear" w:color="auto" w:fill="auto"/>
          <w:lang w:val="es-ES" w:eastAsia="en-US"/>
        </w:rPr>
        <w:t>RESULTADOS</w:t>
      </w:r>
    </w:p>
    <w:p w:rsidR="009E4745" w:rsidRPr="00BE6715" w:rsidRDefault="009E4745" w:rsidP="009E4745">
      <w:pPr>
        <w:shd w:val="clear" w:color="auto" w:fill="auto"/>
        <w:spacing w:line="360" w:lineRule="auto"/>
        <w:rPr>
          <w:rFonts w:eastAsiaTheme="minorHAnsi"/>
          <w:color w:val="auto"/>
          <w:shd w:val="clear" w:color="auto" w:fill="auto"/>
          <w:lang w:val="es-ES" w:eastAsia="en-US"/>
        </w:rPr>
      </w:pPr>
    </w:p>
    <w:p w:rsidR="009E4745" w:rsidRPr="009E4745" w:rsidRDefault="009E4745" w:rsidP="009E4745">
      <w:pPr>
        <w:shd w:val="clear" w:color="auto" w:fill="auto"/>
        <w:spacing w:line="360" w:lineRule="auto"/>
        <w:rPr>
          <w:rFonts w:asciiTheme="minorHAnsi" w:eastAsiaTheme="minorHAnsi" w:hAnsiTheme="minorHAnsi" w:cstheme="minorHAnsi"/>
          <w:color w:val="auto"/>
          <w:shd w:val="clear" w:color="auto" w:fill="auto"/>
          <w:lang w:val="es-ES" w:eastAsia="en-US"/>
        </w:rPr>
      </w:pPr>
      <w:r w:rsidRPr="00BE6715">
        <w:rPr>
          <w:rFonts w:eastAsiaTheme="minorHAnsi"/>
          <w:color w:val="auto"/>
          <w:shd w:val="clear" w:color="auto" w:fill="auto"/>
          <w:lang w:val="es-ES" w:eastAsia="en-US"/>
        </w:rPr>
        <w:t>Se estudiaron 261 alumnos con una edad media de 22.3 ± 4.3 años. 161 de turno matutino y 100 de turno vespertino. 48 sujetos cumplieron criterios para catalogarlos como portadores de burnout (18.4%). con afectación predominante de la dimensión “agotamiento emocional” y en menor grado las dimensiones “cinismo” y “eficiencia académica”.  En la tabla 1 se aprecian los resultados en cada dimensión de burnout, dividida la puntuación en cuartiles.</w:t>
      </w:r>
    </w:p>
    <w:p w:rsidR="009E4745" w:rsidRPr="009E4745" w:rsidRDefault="009E4745" w:rsidP="009E4745">
      <w:pPr>
        <w:shd w:val="clear" w:color="auto" w:fill="auto"/>
        <w:spacing w:line="360" w:lineRule="auto"/>
        <w:rPr>
          <w:rFonts w:asciiTheme="minorHAnsi" w:eastAsiaTheme="minorHAnsi" w:hAnsiTheme="minorHAnsi" w:cstheme="minorHAnsi"/>
          <w:color w:val="auto"/>
          <w:shd w:val="clear" w:color="auto" w:fill="auto"/>
          <w:lang w:val="es-ES" w:eastAsia="en-US"/>
        </w:rPr>
      </w:pPr>
    </w:p>
    <w:p w:rsidR="009E4745" w:rsidRDefault="009E4745" w:rsidP="009E4745">
      <w:pPr>
        <w:shd w:val="clear" w:color="auto" w:fill="auto"/>
        <w:spacing w:line="360" w:lineRule="auto"/>
        <w:rPr>
          <w:rFonts w:asciiTheme="minorHAnsi" w:eastAsiaTheme="minorHAnsi" w:hAnsiTheme="minorHAnsi" w:cstheme="minorHAnsi"/>
          <w:color w:val="auto"/>
          <w:shd w:val="clear" w:color="auto" w:fill="auto"/>
          <w:lang w:val="es-ES" w:eastAsia="en-US"/>
        </w:rPr>
      </w:pPr>
    </w:p>
    <w:p w:rsidR="00BE6715" w:rsidRDefault="00BE6715" w:rsidP="009E4745">
      <w:pPr>
        <w:shd w:val="clear" w:color="auto" w:fill="auto"/>
        <w:spacing w:line="360" w:lineRule="auto"/>
        <w:rPr>
          <w:rFonts w:asciiTheme="minorHAnsi" w:eastAsiaTheme="minorHAnsi" w:hAnsiTheme="minorHAnsi" w:cstheme="minorHAnsi"/>
          <w:color w:val="auto"/>
          <w:shd w:val="clear" w:color="auto" w:fill="auto"/>
          <w:lang w:val="es-ES" w:eastAsia="en-US"/>
        </w:rPr>
      </w:pPr>
    </w:p>
    <w:p w:rsidR="00BE6715" w:rsidRPr="009E4745" w:rsidRDefault="00BE6715" w:rsidP="009E4745">
      <w:pPr>
        <w:shd w:val="clear" w:color="auto" w:fill="auto"/>
        <w:spacing w:line="360" w:lineRule="auto"/>
        <w:rPr>
          <w:rFonts w:asciiTheme="minorHAnsi" w:eastAsiaTheme="minorHAnsi" w:hAnsiTheme="minorHAnsi" w:cstheme="minorHAnsi"/>
          <w:color w:val="auto"/>
          <w:shd w:val="clear" w:color="auto" w:fill="auto"/>
          <w:lang w:val="es-ES" w:eastAsia="en-US"/>
        </w:rPr>
      </w:pPr>
    </w:p>
    <w:p w:rsidR="009E4745" w:rsidRPr="009E4745" w:rsidRDefault="009E4745" w:rsidP="009E4745">
      <w:pPr>
        <w:shd w:val="clear" w:color="auto" w:fill="auto"/>
        <w:spacing w:before="224"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lastRenderedPageBreak/>
        <w:t>Tabla 1. Puntuación obtenida en las dimensiones de Burnout</w:t>
      </w:r>
    </w:p>
    <w:tbl>
      <w:tblPr>
        <w:tblW w:w="8594" w:type="dxa"/>
        <w:jc w:val="center"/>
        <w:tblCellSpacing w:w="0" w:type="dxa"/>
        <w:tblCellMar>
          <w:left w:w="0" w:type="dxa"/>
          <w:right w:w="0" w:type="dxa"/>
        </w:tblCellMar>
        <w:tblLook w:val="04A0" w:firstRow="1" w:lastRow="0" w:firstColumn="1" w:lastColumn="0" w:noHBand="0" w:noVBand="1"/>
      </w:tblPr>
      <w:tblGrid>
        <w:gridCol w:w="2930"/>
        <w:gridCol w:w="1422"/>
        <w:gridCol w:w="1376"/>
        <w:gridCol w:w="1376"/>
        <w:gridCol w:w="1490"/>
      </w:tblGrid>
      <w:tr w:rsidR="009E4745" w:rsidRPr="009E4745" w:rsidTr="00060B2B">
        <w:trPr>
          <w:tblCellSpacing w:w="0" w:type="dxa"/>
          <w:jc w:val="center"/>
        </w:trPr>
        <w:tc>
          <w:tcPr>
            <w:tcW w:w="2930"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224"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Dimensión de Burnout</w:t>
            </w:r>
          </w:p>
        </w:tc>
        <w:tc>
          <w:tcPr>
            <w:tcW w:w="1422"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224"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Cuartil 1 (0 a 25%)</w:t>
            </w:r>
          </w:p>
        </w:tc>
        <w:tc>
          <w:tcPr>
            <w:tcW w:w="1376"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224"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Cuartil 2 (26 a 50%)</w:t>
            </w:r>
          </w:p>
        </w:tc>
        <w:tc>
          <w:tcPr>
            <w:tcW w:w="1376"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224"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Cuartil 3 (51 a 75%)</w:t>
            </w:r>
          </w:p>
        </w:tc>
        <w:tc>
          <w:tcPr>
            <w:tcW w:w="1490"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224"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Cuartil 4 (76 a 100%)</w:t>
            </w:r>
          </w:p>
        </w:tc>
      </w:tr>
      <w:tr w:rsidR="009E4745" w:rsidRPr="009E4745" w:rsidTr="00060B2B">
        <w:trPr>
          <w:trHeight w:val="257"/>
          <w:tblCellSpacing w:w="0" w:type="dxa"/>
          <w:jc w:val="center"/>
        </w:trPr>
        <w:tc>
          <w:tcPr>
            <w:tcW w:w="2930" w:type="dxa"/>
            <w:tcMar>
              <w:top w:w="0" w:type="dxa"/>
              <w:left w:w="108" w:type="dxa"/>
              <w:bottom w:w="0" w:type="dxa"/>
              <w:right w:w="108" w:type="dxa"/>
            </w:tcMar>
            <w:hideMark/>
          </w:tcPr>
          <w:p w:rsidR="009E4745" w:rsidRPr="009E4745" w:rsidRDefault="009E4745" w:rsidP="009E4745">
            <w:pPr>
              <w:shd w:val="clear" w:color="auto" w:fill="auto"/>
              <w:spacing w:before="224"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Agotamiento emocional</w:t>
            </w:r>
          </w:p>
        </w:tc>
        <w:tc>
          <w:tcPr>
            <w:tcW w:w="1422" w:type="dxa"/>
            <w:tcMar>
              <w:top w:w="0" w:type="dxa"/>
              <w:left w:w="108" w:type="dxa"/>
              <w:bottom w:w="0" w:type="dxa"/>
              <w:right w:w="108" w:type="dxa"/>
            </w:tcMar>
            <w:hideMark/>
          </w:tcPr>
          <w:p w:rsidR="009E4745" w:rsidRPr="009E4745" w:rsidRDefault="009E4745" w:rsidP="009E4745">
            <w:pPr>
              <w:shd w:val="clear" w:color="auto" w:fill="auto"/>
              <w:spacing w:before="224"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88</w:t>
            </w:r>
          </w:p>
        </w:tc>
        <w:tc>
          <w:tcPr>
            <w:tcW w:w="1376" w:type="dxa"/>
            <w:tcMar>
              <w:top w:w="0" w:type="dxa"/>
              <w:left w:w="108" w:type="dxa"/>
              <w:bottom w:w="0" w:type="dxa"/>
              <w:right w:w="108" w:type="dxa"/>
            </w:tcMar>
            <w:hideMark/>
          </w:tcPr>
          <w:p w:rsidR="009E4745" w:rsidRPr="009E4745" w:rsidRDefault="009E4745" w:rsidP="009E4745">
            <w:pPr>
              <w:shd w:val="clear" w:color="auto" w:fill="auto"/>
              <w:spacing w:before="224"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133</w:t>
            </w:r>
          </w:p>
        </w:tc>
        <w:tc>
          <w:tcPr>
            <w:tcW w:w="1376" w:type="dxa"/>
            <w:tcMar>
              <w:top w:w="0" w:type="dxa"/>
              <w:left w:w="108" w:type="dxa"/>
              <w:bottom w:w="0" w:type="dxa"/>
              <w:right w:w="108" w:type="dxa"/>
            </w:tcMar>
            <w:hideMark/>
          </w:tcPr>
          <w:p w:rsidR="009E4745" w:rsidRPr="009E4745" w:rsidRDefault="009E4745" w:rsidP="009E4745">
            <w:pPr>
              <w:shd w:val="clear" w:color="auto" w:fill="auto"/>
              <w:spacing w:before="224"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32</w:t>
            </w:r>
          </w:p>
        </w:tc>
        <w:tc>
          <w:tcPr>
            <w:tcW w:w="1490" w:type="dxa"/>
            <w:tcMar>
              <w:top w:w="0" w:type="dxa"/>
              <w:left w:w="108" w:type="dxa"/>
              <w:bottom w:w="0" w:type="dxa"/>
              <w:right w:w="108" w:type="dxa"/>
            </w:tcMar>
            <w:hideMark/>
          </w:tcPr>
          <w:p w:rsidR="009E4745" w:rsidRPr="009E4745" w:rsidRDefault="009E4745" w:rsidP="009E4745">
            <w:pPr>
              <w:shd w:val="clear" w:color="auto" w:fill="auto"/>
              <w:spacing w:before="224"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8</w:t>
            </w:r>
          </w:p>
        </w:tc>
      </w:tr>
      <w:tr w:rsidR="009E4745" w:rsidRPr="009E4745" w:rsidTr="00060B2B">
        <w:trPr>
          <w:trHeight w:val="256"/>
          <w:tblCellSpacing w:w="0" w:type="dxa"/>
          <w:jc w:val="center"/>
        </w:trPr>
        <w:tc>
          <w:tcPr>
            <w:tcW w:w="2930" w:type="dxa"/>
            <w:tcMar>
              <w:top w:w="0" w:type="dxa"/>
              <w:left w:w="108" w:type="dxa"/>
              <w:bottom w:w="0" w:type="dxa"/>
              <w:right w:w="108" w:type="dxa"/>
            </w:tcMar>
            <w:hideMark/>
          </w:tcPr>
          <w:p w:rsidR="009E4745" w:rsidRPr="009E4745" w:rsidRDefault="009E4745" w:rsidP="009E4745">
            <w:pPr>
              <w:shd w:val="clear" w:color="auto" w:fill="auto"/>
              <w:spacing w:before="224"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Cinismo</w:t>
            </w:r>
          </w:p>
        </w:tc>
        <w:tc>
          <w:tcPr>
            <w:tcW w:w="1422" w:type="dxa"/>
            <w:tcMar>
              <w:top w:w="0" w:type="dxa"/>
              <w:left w:w="108" w:type="dxa"/>
              <w:bottom w:w="0" w:type="dxa"/>
              <w:right w:w="108" w:type="dxa"/>
            </w:tcMar>
            <w:hideMark/>
          </w:tcPr>
          <w:p w:rsidR="009E4745" w:rsidRPr="009E4745" w:rsidRDefault="009E4745" w:rsidP="009E4745">
            <w:pPr>
              <w:shd w:val="clear" w:color="auto" w:fill="auto"/>
              <w:spacing w:before="224"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206</w:t>
            </w:r>
          </w:p>
        </w:tc>
        <w:tc>
          <w:tcPr>
            <w:tcW w:w="1376" w:type="dxa"/>
            <w:tcMar>
              <w:top w:w="0" w:type="dxa"/>
              <w:left w:w="108" w:type="dxa"/>
              <w:bottom w:w="0" w:type="dxa"/>
              <w:right w:w="108" w:type="dxa"/>
            </w:tcMar>
            <w:hideMark/>
          </w:tcPr>
          <w:p w:rsidR="009E4745" w:rsidRPr="009E4745" w:rsidRDefault="009E4745" w:rsidP="009E4745">
            <w:pPr>
              <w:shd w:val="clear" w:color="auto" w:fill="auto"/>
              <w:spacing w:before="224"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50</w:t>
            </w:r>
          </w:p>
        </w:tc>
        <w:tc>
          <w:tcPr>
            <w:tcW w:w="1376" w:type="dxa"/>
            <w:tcMar>
              <w:top w:w="0" w:type="dxa"/>
              <w:left w:w="108" w:type="dxa"/>
              <w:bottom w:w="0" w:type="dxa"/>
              <w:right w:w="108" w:type="dxa"/>
            </w:tcMar>
            <w:hideMark/>
          </w:tcPr>
          <w:p w:rsidR="009E4745" w:rsidRPr="009E4745" w:rsidRDefault="009E4745" w:rsidP="009E4745">
            <w:pPr>
              <w:shd w:val="clear" w:color="auto" w:fill="auto"/>
              <w:spacing w:before="224"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5</w:t>
            </w:r>
          </w:p>
        </w:tc>
        <w:tc>
          <w:tcPr>
            <w:tcW w:w="1490" w:type="dxa"/>
            <w:tcMar>
              <w:top w:w="0" w:type="dxa"/>
              <w:left w:w="108" w:type="dxa"/>
              <w:bottom w:w="0" w:type="dxa"/>
              <w:right w:w="108" w:type="dxa"/>
            </w:tcMar>
            <w:hideMark/>
          </w:tcPr>
          <w:p w:rsidR="009E4745" w:rsidRPr="009E4745" w:rsidRDefault="009E4745" w:rsidP="009E4745">
            <w:pPr>
              <w:shd w:val="clear" w:color="auto" w:fill="auto"/>
              <w:spacing w:before="224"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0</w:t>
            </w:r>
          </w:p>
        </w:tc>
      </w:tr>
      <w:tr w:rsidR="009E4745" w:rsidRPr="009E4745" w:rsidTr="00060B2B">
        <w:trPr>
          <w:tblCellSpacing w:w="0" w:type="dxa"/>
          <w:jc w:val="center"/>
        </w:trPr>
        <w:tc>
          <w:tcPr>
            <w:tcW w:w="2930"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224"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Eficiencia académica</w:t>
            </w:r>
          </w:p>
        </w:tc>
        <w:tc>
          <w:tcPr>
            <w:tcW w:w="1422"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224"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1</w:t>
            </w:r>
          </w:p>
        </w:tc>
        <w:tc>
          <w:tcPr>
            <w:tcW w:w="1376"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224"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23</w:t>
            </w:r>
          </w:p>
        </w:tc>
        <w:tc>
          <w:tcPr>
            <w:tcW w:w="1376"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224"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106</w:t>
            </w:r>
          </w:p>
        </w:tc>
        <w:tc>
          <w:tcPr>
            <w:tcW w:w="1490"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224"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131</w:t>
            </w:r>
          </w:p>
        </w:tc>
      </w:tr>
    </w:tbl>
    <w:p w:rsidR="009E4745" w:rsidRPr="009E4745" w:rsidRDefault="009E4745" w:rsidP="009E4745">
      <w:pPr>
        <w:shd w:val="clear" w:color="auto" w:fill="auto"/>
        <w:spacing w:line="360" w:lineRule="auto"/>
        <w:rPr>
          <w:rFonts w:asciiTheme="minorHAnsi" w:eastAsiaTheme="minorHAnsi" w:hAnsiTheme="minorHAnsi" w:cstheme="minorHAnsi"/>
          <w:color w:val="auto"/>
          <w:shd w:val="clear" w:color="auto" w:fill="auto"/>
          <w:lang w:val="es-ES" w:eastAsia="en-US"/>
        </w:rPr>
      </w:pPr>
    </w:p>
    <w:p w:rsidR="009E4745" w:rsidRDefault="009E4745" w:rsidP="009E4745">
      <w:pPr>
        <w:shd w:val="clear" w:color="auto" w:fill="auto"/>
        <w:spacing w:line="360" w:lineRule="auto"/>
        <w:rPr>
          <w:rFonts w:asciiTheme="minorHAnsi" w:eastAsiaTheme="minorHAnsi" w:hAnsiTheme="minorHAnsi" w:cstheme="minorHAnsi"/>
          <w:color w:val="auto"/>
          <w:shd w:val="clear" w:color="auto" w:fill="auto"/>
          <w:lang w:val="es-ES" w:eastAsia="en-US"/>
        </w:rPr>
      </w:pPr>
    </w:p>
    <w:p w:rsidR="009E4745" w:rsidRPr="00BE6715" w:rsidRDefault="009E4745" w:rsidP="009E4745">
      <w:pPr>
        <w:shd w:val="clear" w:color="auto" w:fill="auto"/>
        <w:spacing w:line="360" w:lineRule="auto"/>
        <w:rPr>
          <w:rFonts w:eastAsiaTheme="minorHAnsi"/>
          <w:color w:val="auto"/>
          <w:shd w:val="clear" w:color="auto" w:fill="auto"/>
          <w:lang w:val="es-ES" w:eastAsia="en-US"/>
        </w:rPr>
      </w:pPr>
      <w:r w:rsidRPr="00BE6715">
        <w:rPr>
          <w:rFonts w:eastAsiaTheme="minorHAnsi"/>
          <w:color w:val="auto"/>
          <w:shd w:val="clear" w:color="auto" w:fill="auto"/>
          <w:lang w:val="es-ES" w:eastAsia="en-US"/>
        </w:rPr>
        <w:t>En afectación emocional, el valor de la mediana obtenida por los 261 participantes fue de 10 (de 30 puntos máximos posibles a obtener). El resto de valores medios de la puntuación en las dimensiones estudiadas se encuentran en la tabla 2.</w:t>
      </w:r>
    </w:p>
    <w:p w:rsidR="009E4745" w:rsidRPr="009E4745" w:rsidRDefault="009E4745" w:rsidP="009E4745">
      <w:pPr>
        <w:shd w:val="clear" w:color="auto" w:fill="auto"/>
        <w:spacing w:line="360" w:lineRule="auto"/>
        <w:rPr>
          <w:rFonts w:asciiTheme="minorHAnsi" w:eastAsiaTheme="minorHAnsi" w:hAnsiTheme="minorHAnsi" w:cstheme="minorHAnsi"/>
          <w:color w:val="auto"/>
          <w:shd w:val="clear" w:color="auto" w:fill="auto"/>
          <w:lang w:val="es-ES" w:eastAsia="en-US"/>
        </w:rPr>
      </w:pPr>
    </w:p>
    <w:p w:rsidR="009E4745" w:rsidRPr="009E4745" w:rsidRDefault="009E4745" w:rsidP="009E4745">
      <w:pPr>
        <w:shd w:val="clear" w:color="auto" w:fill="auto"/>
        <w:spacing w:before="224"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Tabla 2. Valores de mediana y media de las dimensiones de Burnout</w:t>
      </w:r>
    </w:p>
    <w:tbl>
      <w:tblPr>
        <w:tblW w:w="8897" w:type="dxa"/>
        <w:tblCellSpacing w:w="0" w:type="dxa"/>
        <w:tblInd w:w="19" w:type="dxa"/>
        <w:tblCellMar>
          <w:left w:w="0" w:type="dxa"/>
          <w:right w:w="0" w:type="dxa"/>
        </w:tblCellMar>
        <w:tblLook w:val="04A0" w:firstRow="1" w:lastRow="0" w:firstColumn="1" w:lastColumn="0" w:noHBand="0" w:noVBand="1"/>
      </w:tblPr>
      <w:tblGrid>
        <w:gridCol w:w="2518"/>
        <w:gridCol w:w="1418"/>
        <w:gridCol w:w="1275"/>
        <w:gridCol w:w="1560"/>
        <w:gridCol w:w="2126"/>
      </w:tblGrid>
      <w:tr w:rsidR="009E4745" w:rsidRPr="009E4745" w:rsidTr="00060B2B">
        <w:trPr>
          <w:tblCellSpacing w:w="0" w:type="dxa"/>
        </w:trPr>
        <w:tc>
          <w:tcPr>
            <w:tcW w:w="2518"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224"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Dimensión</w:t>
            </w:r>
          </w:p>
        </w:tc>
        <w:tc>
          <w:tcPr>
            <w:tcW w:w="1418"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224"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Mediana</w:t>
            </w:r>
          </w:p>
        </w:tc>
        <w:tc>
          <w:tcPr>
            <w:tcW w:w="1275"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224"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Media</w:t>
            </w:r>
          </w:p>
        </w:tc>
        <w:tc>
          <w:tcPr>
            <w:tcW w:w="1560"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224"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Desviación estándar</w:t>
            </w:r>
          </w:p>
        </w:tc>
        <w:tc>
          <w:tcPr>
            <w:tcW w:w="2126"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224"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Puntuación máxima posible</w:t>
            </w:r>
          </w:p>
        </w:tc>
      </w:tr>
      <w:tr w:rsidR="009E4745" w:rsidRPr="009E4745" w:rsidTr="00060B2B">
        <w:trPr>
          <w:tblCellSpacing w:w="0" w:type="dxa"/>
        </w:trPr>
        <w:tc>
          <w:tcPr>
            <w:tcW w:w="2518" w:type="dxa"/>
            <w:tcMar>
              <w:top w:w="0" w:type="dxa"/>
              <w:left w:w="108" w:type="dxa"/>
              <w:bottom w:w="0" w:type="dxa"/>
              <w:right w:w="108" w:type="dxa"/>
            </w:tcMar>
            <w:hideMark/>
          </w:tcPr>
          <w:p w:rsidR="009E4745" w:rsidRPr="009E4745" w:rsidRDefault="009E4745" w:rsidP="009E4745">
            <w:pPr>
              <w:shd w:val="clear" w:color="auto" w:fill="auto"/>
              <w:spacing w:before="224"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Afectación Emocional</w:t>
            </w:r>
          </w:p>
        </w:tc>
        <w:tc>
          <w:tcPr>
            <w:tcW w:w="1418" w:type="dxa"/>
            <w:tcMar>
              <w:top w:w="0" w:type="dxa"/>
              <w:left w:w="108" w:type="dxa"/>
              <w:bottom w:w="0" w:type="dxa"/>
              <w:right w:w="108" w:type="dxa"/>
            </w:tcMar>
            <w:hideMark/>
          </w:tcPr>
          <w:p w:rsidR="009E4745" w:rsidRPr="009E4745" w:rsidRDefault="009E4745" w:rsidP="009E4745">
            <w:pPr>
              <w:shd w:val="clear" w:color="auto" w:fill="auto"/>
              <w:spacing w:before="224"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10</w:t>
            </w:r>
          </w:p>
        </w:tc>
        <w:tc>
          <w:tcPr>
            <w:tcW w:w="1275" w:type="dxa"/>
            <w:tcMar>
              <w:top w:w="0" w:type="dxa"/>
              <w:left w:w="108" w:type="dxa"/>
              <w:bottom w:w="0" w:type="dxa"/>
              <w:right w:w="108" w:type="dxa"/>
            </w:tcMar>
            <w:hideMark/>
          </w:tcPr>
          <w:p w:rsidR="009E4745" w:rsidRPr="009E4745" w:rsidRDefault="009E4745" w:rsidP="009E4745">
            <w:pPr>
              <w:shd w:val="clear" w:color="auto" w:fill="auto"/>
              <w:spacing w:before="224"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10</w:t>
            </w:r>
          </w:p>
        </w:tc>
        <w:tc>
          <w:tcPr>
            <w:tcW w:w="1560" w:type="dxa"/>
            <w:tcMar>
              <w:top w:w="0" w:type="dxa"/>
              <w:left w:w="108" w:type="dxa"/>
              <w:bottom w:w="0" w:type="dxa"/>
              <w:right w:w="108" w:type="dxa"/>
            </w:tcMar>
            <w:hideMark/>
          </w:tcPr>
          <w:p w:rsidR="009E4745" w:rsidRPr="009E4745" w:rsidRDefault="009E4745" w:rsidP="009E4745">
            <w:pPr>
              <w:shd w:val="clear" w:color="auto" w:fill="auto"/>
              <w:spacing w:before="224"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5.3</w:t>
            </w:r>
          </w:p>
        </w:tc>
        <w:tc>
          <w:tcPr>
            <w:tcW w:w="2126" w:type="dxa"/>
            <w:tcMar>
              <w:top w:w="0" w:type="dxa"/>
              <w:left w:w="108" w:type="dxa"/>
              <w:bottom w:w="0" w:type="dxa"/>
              <w:right w:w="108" w:type="dxa"/>
            </w:tcMar>
            <w:hideMark/>
          </w:tcPr>
          <w:p w:rsidR="009E4745" w:rsidRPr="009E4745" w:rsidRDefault="009E4745" w:rsidP="009E4745">
            <w:pPr>
              <w:shd w:val="clear" w:color="auto" w:fill="auto"/>
              <w:spacing w:before="224"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30</w:t>
            </w:r>
          </w:p>
        </w:tc>
      </w:tr>
      <w:tr w:rsidR="009E4745" w:rsidRPr="009E4745" w:rsidTr="00060B2B">
        <w:trPr>
          <w:tblCellSpacing w:w="0" w:type="dxa"/>
        </w:trPr>
        <w:tc>
          <w:tcPr>
            <w:tcW w:w="2518" w:type="dxa"/>
            <w:tcMar>
              <w:top w:w="0" w:type="dxa"/>
              <w:left w:w="108" w:type="dxa"/>
              <w:bottom w:w="0" w:type="dxa"/>
              <w:right w:w="108" w:type="dxa"/>
            </w:tcMar>
            <w:hideMark/>
          </w:tcPr>
          <w:p w:rsidR="009E4745" w:rsidRPr="009E4745" w:rsidRDefault="009E4745" w:rsidP="009E4745">
            <w:pPr>
              <w:shd w:val="clear" w:color="auto" w:fill="auto"/>
              <w:spacing w:before="224"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Cinismo</w:t>
            </w:r>
          </w:p>
        </w:tc>
        <w:tc>
          <w:tcPr>
            <w:tcW w:w="1418" w:type="dxa"/>
            <w:tcMar>
              <w:top w:w="0" w:type="dxa"/>
              <w:left w:w="108" w:type="dxa"/>
              <w:bottom w:w="0" w:type="dxa"/>
              <w:right w:w="108" w:type="dxa"/>
            </w:tcMar>
            <w:hideMark/>
          </w:tcPr>
          <w:p w:rsidR="009E4745" w:rsidRPr="009E4745" w:rsidRDefault="009E4745" w:rsidP="009E4745">
            <w:pPr>
              <w:shd w:val="clear" w:color="auto" w:fill="auto"/>
              <w:spacing w:before="224"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3.9</w:t>
            </w:r>
          </w:p>
        </w:tc>
        <w:tc>
          <w:tcPr>
            <w:tcW w:w="1275" w:type="dxa"/>
            <w:tcMar>
              <w:top w:w="0" w:type="dxa"/>
              <w:left w:w="108" w:type="dxa"/>
              <w:bottom w:w="0" w:type="dxa"/>
              <w:right w:w="108" w:type="dxa"/>
            </w:tcMar>
            <w:hideMark/>
          </w:tcPr>
          <w:p w:rsidR="009E4745" w:rsidRPr="009E4745" w:rsidRDefault="009E4745" w:rsidP="009E4745">
            <w:pPr>
              <w:shd w:val="clear" w:color="auto" w:fill="auto"/>
              <w:spacing w:before="224"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3</w:t>
            </w:r>
          </w:p>
        </w:tc>
        <w:tc>
          <w:tcPr>
            <w:tcW w:w="1560" w:type="dxa"/>
            <w:tcMar>
              <w:top w:w="0" w:type="dxa"/>
              <w:left w:w="108" w:type="dxa"/>
              <w:bottom w:w="0" w:type="dxa"/>
              <w:right w:w="108" w:type="dxa"/>
            </w:tcMar>
            <w:hideMark/>
          </w:tcPr>
          <w:p w:rsidR="009E4745" w:rsidRPr="009E4745" w:rsidRDefault="009E4745" w:rsidP="009E4745">
            <w:pPr>
              <w:shd w:val="clear" w:color="auto" w:fill="auto"/>
              <w:spacing w:before="224"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3.5</w:t>
            </w:r>
          </w:p>
        </w:tc>
        <w:tc>
          <w:tcPr>
            <w:tcW w:w="2126" w:type="dxa"/>
            <w:tcMar>
              <w:top w:w="0" w:type="dxa"/>
              <w:left w:w="108" w:type="dxa"/>
              <w:bottom w:w="0" w:type="dxa"/>
              <w:right w:w="108" w:type="dxa"/>
            </w:tcMar>
            <w:hideMark/>
          </w:tcPr>
          <w:p w:rsidR="009E4745" w:rsidRPr="009E4745" w:rsidRDefault="009E4745" w:rsidP="009E4745">
            <w:pPr>
              <w:shd w:val="clear" w:color="auto" w:fill="auto"/>
              <w:spacing w:before="224"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24</w:t>
            </w:r>
          </w:p>
        </w:tc>
      </w:tr>
      <w:tr w:rsidR="009E4745" w:rsidRPr="009E4745" w:rsidTr="00060B2B">
        <w:trPr>
          <w:tblCellSpacing w:w="0" w:type="dxa"/>
        </w:trPr>
        <w:tc>
          <w:tcPr>
            <w:tcW w:w="2518"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224"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Eficacia Académica</w:t>
            </w:r>
          </w:p>
        </w:tc>
        <w:tc>
          <w:tcPr>
            <w:tcW w:w="1418"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224"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26.8</w:t>
            </w:r>
          </w:p>
        </w:tc>
        <w:tc>
          <w:tcPr>
            <w:tcW w:w="1275"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224"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28</w:t>
            </w:r>
          </w:p>
        </w:tc>
        <w:tc>
          <w:tcPr>
            <w:tcW w:w="1560"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224"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5.3</w:t>
            </w:r>
          </w:p>
        </w:tc>
        <w:tc>
          <w:tcPr>
            <w:tcW w:w="2126"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224"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30</w:t>
            </w:r>
          </w:p>
        </w:tc>
      </w:tr>
    </w:tbl>
    <w:p w:rsidR="009E4745" w:rsidRPr="009E4745" w:rsidRDefault="009E4745" w:rsidP="009E4745">
      <w:pPr>
        <w:shd w:val="clear" w:color="auto" w:fill="auto"/>
        <w:spacing w:line="360" w:lineRule="auto"/>
        <w:rPr>
          <w:rFonts w:asciiTheme="minorHAnsi" w:eastAsiaTheme="minorHAnsi" w:hAnsiTheme="minorHAnsi" w:cstheme="minorHAnsi"/>
          <w:color w:val="auto"/>
          <w:shd w:val="clear" w:color="auto" w:fill="auto"/>
          <w:lang w:val="es-ES" w:eastAsia="en-US"/>
        </w:rPr>
      </w:pPr>
    </w:p>
    <w:p w:rsidR="009E4745" w:rsidRPr="009E4745" w:rsidRDefault="009E4745" w:rsidP="009E4745">
      <w:pPr>
        <w:shd w:val="clear" w:color="auto" w:fill="auto"/>
        <w:spacing w:line="360" w:lineRule="auto"/>
        <w:rPr>
          <w:rFonts w:asciiTheme="minorHAnsi" w:eastAsiaTheme="minorHAnsi" w:hAnsiTheme="minorHAnsi" w:cstheme="minorHAnsi"/>
          <w:color w:val="auto"/>
          <w:shd w:val="clear" w:color="auto" w:fill="auto"/>
          <w:lang w:val="es-ES" w:eastAsia="en-US"/>
        </w:rPr>
      </w:pPr>
    </w:p>
    <w:p w:rsidR="009E4745" w:rsidRPr="00BE6715" w:rsidRDefault="009E4745" w:rsidP="009E4745">
      <w:pPr>
        <w:shd w:val="clear" w:color="auto" w:fill="auto"/>
        <w:spacing w:line="360" w:lineRule="auto"/>
        <w:rPr>
          <w:rFonts w:eastAsiaTheme="minorHAnsi"/>
          <w:color w:val="auto"/>
          <w:shd w:val="clear" w:color="auto" w:fill="auto"/>
          <w:lang w:val="es-ES" w:eastAsia="en-US"/>
        </w:rPr>
      </w:pPr>
      <w:r w:rsidRPr="00BE6715">
        <w:rPr>
          <w:rFonts w:eastAsiaTheme="minorHAnsi"/>
          <w:color w:val="auto"/>
          <w:shd w:val="clear" w:color="auto" w:fill="auto"/>
          <w:lang w:val="es-ES" w:eastAsia="en-US"/>
        </w:rPr>
        <w:t>En la evaluación global de ansiedad, once sujetos (4.2%) presentaron puntuaciones arriba del 50% de la escala de Hamilton y 54(20.7%) entre 26 y 50%, sin embargo, al separar el componente somático del psicológico, se aprecia predominio del factor psicológicos, incrementando la proporción de sujetos con puntuaciones arriba de 50% a 6.5% (Tabla 3).</w:t>
      </w:r>
    </w:p>
    <w:p w:rsidR="009E4745" w:rsidRPr="009E4745" w:rsidRDefault="009E4745" w:rsidP="009E4745">
      <w:pPr>
        <w:shd w:val="clear" w:color="auto" w:fill="auto"/>
        <w:spacing w:line="360" w:lineRule="auto"/>
        <w:rPr>
          <w:rFonts w:asciiTheme="minorHAnsi" w:eastAsiaTheme="minorHAnsi" w:hAnsiTheme="minorHAnsi" w:cstheme="minorHAnsi"/>
          <w:color w:val="auto"/>
          <w:shd w:val="clear" w:color="auto" w:fill="auto"/>
          <w:lang w:val="es-ES" w:eastAsia="en-US"/>
        </w:rPr>
      </w:pPr>
    </w:p>
    <w:p w:rsidR="009E4745" w:rsidRPr="009E4745" w:rsidRDefault="009E4745" w:rsidP="009E4745">
      <w:pPr>
        <w:shd w:val="clear" w:color="auto" w:fill="auto"/>
        <w:spacing w:before="120" w:line="276"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Tabla 3. Puntuaciones de la Escala de Hamilton</w:t>
      </w:r>
    </w:p>
    <w:tbl>
      <w:tblPr>
        <w:tblW w:w="0" w:type="auto"/>
        <w:tblCellSpacing w:w="0" w:type="dxa"/>
        <w:tblInd w:w="19" w:type="dxa"/>
        <w:tblCellMar>
          <w:left w:w="0" w:type="dxa"/>
          <w:right w:w="0" w:type="dxa"/>
        </w:tblCellMar>
        <w:tblLook w:val="04A0" w:firstRow="1" w:lastRow="0" w:firstColumn="1" w:lastColumn="0" w:noHBand="0" w:noVBand="1"/>
      </w:tblPr>
      <w:tblGrid>
        <w:gridCol w:w="2161"/>
        <w:gridCol w:w="2342"/>
        <w:gridCol w:w="2161"/>
        <w:gridCol w:w="1847"/>
      </w:tblGrid>
      <w:tr w:rsidR="009E4745" w:rsidRPr="009E4745" w:rsidTr="00060B2B">
        <w:trPr>
          <w:tblCellSpacing w:w="0" w:type="dxa"/>
        </w:trPr>
        <w:tc>
          <w:tcPr>
            <w:tcW w:w="2161"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224" w:line="276"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Puntuación</w:t>
            </w:r>
          </w:p>
        </w:tc>
        <w:tc>
          <w:tcPr>
            <w:tcW w:w="2342"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224" w:line="276"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Ansiedad psicológica</w:t>
            </w:r>
          </w:p>
        </w:tc>
        <w:tc>
          <w:tcPr>
            <w:tcW w:w="2161"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224" w:line="276"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Ansiedad somática</w:t>
            </w:r>
          </w:p>
        </w:tc>
        <w:tc>
          <w:tcPr>
            <w:tcW w:w="1847"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224" w:line="276"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Ansiedad global</w:t>
            </w:r>
          </w:p>
        </w:tc>
      </w:tr>
      <w:tr w:rsidR="009E4745" w:rsidRPr="009E4745" w:rsidTr="00060B2B">
        <w:trPr>
          <w:tblCellSpacing w:w="0" w:type="dxa"/>
        </w:trPr>
        <w:tc>
          <w:tcPr>
            <w:tcW w:w="2161" w:type="dxa"/>
            <w:tcMar>
              <w:top w:w="0" w:type="dxa"/>
              <w:left w:w="108" w:type="dxa"/>
              <w:bottom w:w="0" w:type="dxa"/>
              <w:right w:w="108" w:type="dxa"/>
            </w:tcMar>
            <w:hideMark/>
          </w:tcPr>
          <w:p w:rsidR="009E4745" w:rsidRPr="009E4745" w:rsidRDefault="009E4745" w:rsidP="009E4745">
            <w:pPr>
              <w:shd w:val="clear" w:color="auto" w:fill="auto"/>
              <w:spacing w:before="224" w:line="276"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76 a 100%</w:t>
            </w:r>
          </w:p>
        </w:tc>
        <w:tc>
          <w:tcPr>
            <w:tcW w:w="2342" w:type="dxa"/>
            <w:tcMar>
              <w:top w:w="0" w:type="dxa"/>
              <w:left w:w="108" w:type="dxa"/>
              <w:bottom w:w="0" w:type="dxa"/>
              <w:right w:w="108" w:type="dxa"/>
            </w:tcMar>
            <w:hideMark/>
          </w:tcPr>
          <w:p w:rsidR="009E4745" w:rsidRPr="009E4745" w:rsidRDefault="009E4745" w:rsidP="009E4745">
            <w:pPr>
              <w:shd w:val="clear" w:color="auto" w:fill="auto"/>
              <w:spacing w:before="224" w:line="276"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1</w:t>
            </w:r>
          </w:p>
        </w:tc>
        <w:tc>
          <w:tcPr>
            <w:tcW w:w="2161" w:type="dxa"/>
            <w:tcMar>
              <w:top w:w="0" w:type="dxa"/>
              <w:left w:w="108" w:type="dxa"/>
              <w:bottom w:w="0" w:type="dxa"/>
              <w:right w:w="108" w:type="dxa"/>
            </w:tcMar>
            <w:hideMark/>
          </w:tcPr>
          <w:p w:rsidR="009E4745" w:rsidRPr="009E4745" w:rsidRDefault="009E4745" w:rsidP="009E4745">
            <w:pPr>
              <w:shd w:val="clear" w:color="auto" w:fill="auto"/>
              <w:spacing w:before="224" w:line="276"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3</w:t>
            </w:r>
          </w:p>
        </w:tc>
        <w:tc>
          <w:tcPr>
            <w:tcW w:w="1847" w:type="dxa"/>
            <w:tcMar>
              <w:top w:w="0" w:type="dxa"/>
              <w:left w:w="108" w:type="dxa"/>
              <w:bottom w:w="0" w:type="dxa"/>
              <w:right w:w="108" w:type="dxa"/>
            </w:tcMar>
            <w:hideMark/>
          </w:tcPr>
          <w:p w:rsidR="009E4745" w:rsidRPr="009E4745" w:rsidRDefault="009E4745" w:rsidP="009E4745">
            <w:pPr>
              <w:shd w:val="clear" w:color="auto" w:fill="auto"/>
              <w:spacing w:before="224" w:line="276"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2</w:t>
            </w:r>
          </w:p>
        </w:tc>
      </w:tr>
      <w:tr w:rsidR="009E4745" w:rsidRPr="009E4745" w:rsidTr="00060B2B">
        <w:trPr>
          <w:tblCellSpacing w:w="0" w:type="dxa"/>
        </w:trPr>
        <w:tc>
          <w:tcPr>
            <w:tcW w:w="2161" w:type="dxa"/>
            <w:tcMar>
              <w:top w:w="0" w:type="dxa"/>
              <w:left w:w="108" w:type="dxa"/>
              <w:bottom w:w="0" w:type="dxa"/>
              <w:right w:w="108" w:type="dxa"/>
            </w:tcMar>
            <w:hideMark/>
          </w:tcPr>
          <w:p w:rsidR="009E4745" w:rsidRPr="009E4745" w:rsidRDefault="009E4745" w:rsidP="009E4745">
            <w:pPr>
              <w:shd w:val="clear" w:color="auto" w:fill="auto"/>
              <w:spacing w:before="224" w:line="276"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51-75%</w:t>
            </w:r>
          </w:p>
        </w:tc>
        <w:tc>
          <w:tcPr>
            <w:tcW w:w="2342" w:type="dxa"/>
            <w:tcMar>
              <w:top w:w="0" w:type="dxa"/>
              <w:left w:w="108" w:type="dxa"/>
              <w:bottom w:w="0" w:type="dxa"/>
              <w:right w:w="108" w:type="dxa"/>
            </w:tcMar>
            <w:hideMark/>
          </w:tcPr>
          <w:p w:rsidR="009E4745" w:rsidRPr="009E4745" w:rsidRDefault="009E4745" w:rsidP="009E4745">
            <w:pPr>
              <w:shd w:val="clear" w:color="auto" w:fill="auto"/>
              <w:spacing w:before="224" w:line="276"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16</w:t>
            </w:r>
          </w:p>
        </w:tc>
        <w:tc>
          <w:tcPr>
            <w:tcW w:w="2161" w:type="dxa"/>
            <w:tcMar>
              <w:top w:w="0" w:type="dxa"/>
              <w:left w:w="108" w:type="dxa"/>
              <w:bottom w:w="0" w:type="dxa"/>
              <w:right w:w="108" w:type="dxa"/>
            </w:tcMar>
            <w:hideMark/>
          </w:tcPr>
          <w:p w:rsidR="009E4745" w:rsidRPr="009E4745" w:rsidRDefault="009E4745" w:rsidP="009E4745">
            <w:pPr>
              <w:shd w:val="clear" w:color="auto" w:fill="auto"/>
              <w:spacing w:before="224" w:line="276"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9</w:t>
            </w:r>
          </w:p>
        </w:tc>
        <w:tc>
          <w:tcPr>
            <w:tcW w:w="1847" w:type="dxa"/>
            <w:tcMar>
              <w:top w:w="0" w:type="dxa"/>
              <w:left w:w="108" w:type="dxa"/>
              <w:bottom w:w="0" w:type="dxa"/>
              <w:right w:w="108" w:type="dxa"/>
            </w:tcMar>
            <w:hideMark/>
          </w:tcPr>
          <w:p w:rsidR="009E4745" w:rsidRPr="009E4745" w:rsidRDefault="009E4745" w:rsidP="009E4745">
            <w:pPr>
              <w:shd w:val="clear" w:color="auto" w:fill="auto"/>
              <w:spacing w:before="224" w:line="276"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9</w:t>
            </w:r>
          </w:p>
        </w:tc>
      </w:tr>
      <w:tr w:rsidR="009E4745" w:rsidRPr="009E4745" w:rsidTr="00060B2B">
        <w:trPr>
          <w:tblCellSpacing w:w="0" w:type="dxa"/>
        </w:trPr>
        <w:tc>
          <w:tcPr>
            <w:tcW w:w="2161" w:type="dxa"/>
            <w:tcMar>
              <w:top w:w="0" w:type="dxa"/>
              <w:left w:w="108" w:type="dxa"/>
              <w:bottom w:w="0" w:type="dxa"/>
              <w:right w:w="108" w:type="dxa"/>
            </w:tcMar>
            <w:hideMark/>
          </w:tcPr>
          <w:p w:rsidR="009E4745" w:rsidRPr="009E4745" w:rsidRDefault="009E4745" w:rsidP="009E4745">
            <w:pPr>
              <w:shd w:val="clear" w:color="auto" w:fill="auto"/>
              <w:spacing w:before="224" w:line="276"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26 a 50%</w:t>
            </w:r>
          </w:p>
        </w:tc>
        <w:tc>
          <w:tcPr>
            <w:tcW w:w="2342" w:type="dxa"/>
            <w:tcMar>
              <w:top w:w="0" w:type="dxa"/>
              <w:left w:w="108" w:type="dxa"/>
              <w:bottom w:w="0" w:type="dxa"/>
              <w:right w:w="108" w:type="dxa"/>
            </w:tcMar>
            <w:hideMark/>
          </w:tcPr>
          <w:p w:rsidR="009E4745" w:rsidRPr="009E4745" w:rsidRDefault="009E4745" w:rsidP="009E4745">
            <w:pPr>
              <w:shd w:val="clear" w:color="auto" w:fill="auto"/>
              <w:spacing w:before="224" w:line="276"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54</w:t>
            </w:r>
          </w:p>
        </w:tc>
        <w:tc>
          <w:tcPr>
            <w:tcW w:w="2161" w:type="dxa"/>
            <w:tcMar>
              <w:top w:w="0" w:type="dxa"/>
              <w:left w:w="108" w:type="dxa"/>
              <w:bottom w:w="0" w:type="dxa"/>
              <w:right w:w="108" w:type="dxa"/>
            </w:tcMar>
            <w:hideMark/>
          </w:tcPr>
          <w:p w:rsidR="009E4745" w:rsidRPr="009E4745" w:rsidRDefault="009E4745" w:rsidP="009E4745">
            <w:pPr>
              <w:shd w:val="clear" w:color="auto" w:fill="auto"/>
              <w:spacing w:before="224" w:line="276"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32</w:t>
            </w:r>
          </w:p>
        </w:tc>
        <w:tc>
          <w:tcPr>
            <w:tcW w:w="1847" w:type="dxa"/>
            <w:tcMar>
              <w:top w:w="0" w:type="dxa"/>
              <w:left w:w="108" w:type="dxa"/>
              <w:bottom w:w="0" w:type="dxa"/>
              <w:right w:w="108" w:type="dxa"/>
            </w:tcMar>
            <w:hideMark/>
          </w:tcPr>
          <w:p w:rsidR="009E4745" w:rsidRPr="009E4745" w:rsidRDefault="009E4745" w:rsidP="009E4745">
            <w:pPr>
              <w:shd w:val="clear" w:color="auto" w:fill="auto"/>
              <w:spacing w:before="224" w:line="276"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54</w:t>
            </w:r>
          </w:p>
        </w:tc>
      </w:tr>
      <w:tr w:rsidR="009E4745" w:rsidRPr="009E4745" w:rsidTr="00060B2B">
        <w:trPr>
          <w:tblCellSpacing w:w="0" w:type="dxa"/>
        </w:trPr>
        <w:tc>
          <w:tcPr>
            <w:tcW w:w="2161"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224" w:line="276"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0 a 25%</w:t>
            </w:r>
          </w:p>
        </w:tc>
        <w:tc>
          <w:tcPr>
            <w:tcW w:w="2342"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224" w:line="276"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196</w:t>
            </w:r>
          </w:p>
        </w:tc>
        <w:tc>
          <w:tcPr>
            <w:tcW w:w="2161"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224" w:line="276"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217</w:t>
            </w:r>
          </w:p>
        </w:tc>
        <w:tc>
          <w:tcPr>
            <w:tcW w:w="1847"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224" w:line="276"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196</w:t>
            </w:r>
          </w:p>
        </w:tc>
      </w:tr>
    </w:tbl>
    <w:p w:rsidR="009E4745" w:rsidRPr="009E4745" w:rsidRDefault="009E4745" w:rsidP="009E4745">
      <w:pPr>
        <w:shd w:val="clear" w:color="auto" w:fill="auto"/>
        <w:spacing w:line="360" w:lineRule="auto"/>
        <w:rPr>
          <w:rFonts w:asciiTheme="minorHAnsi" w:eastAsiaTheme="minorHAnsi" w:hAnsiTheme="minorHAnsi" w:cstheme="minorHAnsi"/>
          <w:color w:val="auto"/>
          <w:shd w:val="clear" w:color="auto" w:fill="auto"/>
          <w:lang w:val="es-ES" w:eastAsia="en-US"/>
        </w:rPr>
      </w:pPr>
    </w:p>
    <w:p w:rsidR="009E4745" w:rsidRPr="00BE6715" w:rsidRDefault="009E4745" w:rsidP="009E4745">
      <w:pPr>
        <w:shd w:val="clear" w:color="auto" w:fill="auto"/>
        <w:spacing w:line="360" w:lineRule="auto"/>
        <w:rPr>
          <w:rFonts w:eastAsiaTheme="minorHAnsi"/>
          <w:color w:val="auto"/>
          <w:shd w:val="clear" w:color="auto" w:fill="auto"/>
          <w:lang w:val="es-ES" w:eastAsia="en-US"/>
        </w:rPr>
      </w:pPr>
      <w:r w:rsidRPr="00BE6715">
        <w:rPr>
          <w:rFonts w:eastAsiaTheme="minorHAnsi"/>
          <w:color w:val="auto"/>
          <w:shd w:val="clear" w:color="auto" w:fill="auto"/>
          <w:lang w:val="es-ES" w:eastAsia="en-US"/>
        </w:rPr>
        <w:t xml:space="preserve">Si categorizamos la ansiedad como se propone por Nilson en leve, moderada y severa, la frecuencia de ansiedad es de 56% en total (146 sujetos) (85 sujetos con ansiedad leve y 61 con ansiedad moderada a severa.). </w:t>
      </w:r>
    </w:p>
    <w:p w:rsidR="009E4745" w:rsidRPr="00BE6715" w:rsidRDefault="009E4745" w:rsidP="009E4745">
      <w:pPr>
        <w:shd w:val="clear" w:color="auto" w:fill="auto"/>
        <w:spacing w:line="360" w:lineRule="auto"/>
        <w:rPr>
          <w:rFonts w:eastAsiaTheme="minorHAnsi"/>
          <w:color w:val="auto"/>
          <w:shd w:val="clear" w:color="auto" w:fill="auto"/>
          <w:lang w:val="es-ES" w:eastAsia="en-US"/>
        </w:rPr>
      </w:pPr>
    </w:p>
    <w:p w:rsidR="009E4745" w:rsidRPr="00BE6715" w:rsidRDefault="009E4745" w:rsidP="009E4745">
      <w:pPr>
        <w:shd w:val="clear" w:color="auto" w:fill="auto"/>
        <w:spacing w:line="360" w:lineRule="auto"/>
        <w:rPr>
          <w:rFonts w:eastAsiaTheme="minorHAnsi"/>
          <w:color w:val="auto"/>
          <w:shd w:val="clear" w:color="auto" w:fill="auto"/>
          <w:lang w:val="es-ES" w:eastAsia="en-US"/>
        </w:rPr>
      </w:pPr>
      <w:r w:rsidRPr="00BE6715">
        <w:rPr>
          <w:rFonts w:eastAsiaTheme="minorHAnsi"/>
          <w:color w:val="auto"/>
          <w:shd w:val="clear" w:color="auto" w:fill="auto"/>
          <w:lang w:val="es-ES" w:eastAsia="en-US"/>
        </w:rPr>
        <w:t>En el inventario de Beck para depresión se aprecia que catorce alumnos (5.4%) tienen depresión moderada a severa y 40 (15.3%) leve o intermitente.</w:t>
      </w:r>
    </w:p>
    <w:p w:rsidR="009E4745" w:rsidRPr="00BE6715" w:rsidRDefault="009E4745" w:rsidP="009E4745">
      <w:pPr>
        <w:shd w:val="clear" w:color="auto" w:fill="auto"/>
        <w:spacing w:line="360" w:lineRule="auto"/>
        <w:rPr>
          <w:rFonts w:eastAsiaTheme="minorHAnsi"/>
          <w:color w:val="auto"/>
          <w:shd w:val="clear" w:color="auto" w:fill="auto"/>
          <w:lang w:val="es-ES" w:eastAsia="en-US"/>
        </w:rPr>
      </w:pPr>
    </w:p>
    <w:p w:rsidR="009E4745" w:rsidRDefault="009E4745" w:rsidP="009E4745">
      <w:pPr>
        <w:shd w:val="clear" w:color="auto" w:fill="auto"/>
        <w:spacing w:line="360" w:lineRule="auto"/>
        <w:rPr>
          <w:rFonts w:eastAsiaTheme="minorHAnsi"/>
          <w:color w:val="auto"/>
          <w:shd w:val="clear" w:color="auto" w:fill="auto"/>
          <w:lang w:val="es-ES" w:eastAsia="en-US"/>
        </w:rPr>
      </w:pPr>
      <w:r w:rsidRPr="00BE6715">
        <w:rPr>
          <w:rFonts w:eastAsiaTheme="minorHAnsi"/>
          <w:color w:val="auto"/>
          <w:shd w:val="clear" w:color="auto" w:fill="auto"/>
          <w:lang w:val="es-ES" w:eastAsia="en-US"/>
        </w:rPr>
        <w:t xml:space="preserve"> Se encuentra asociación de ansiedad y depresión con tener burnout (p&lt;0.001), no así con el turno y el grado (Tabla 4)</w:t>
      </w:r>
    </w:p>
    <w:p w:rsidR="00BE6715" w:rsidRDefault="00BE6715" w:rsidP="009E4745">
      <w:pPr>
        <w:shd w:val="clear" w:color="auto" w:fill="auto"/>
        <w:spacing w:line="360" w:lineRule="auto"/>
        <w:rPr>
          <w:rFonts w:eastAsiaTheme="minorHAnsi"/>
          <w:color w:val="auto"/>
          <w:shd w:val="clear" w:color="auto" w:fill="auto"/>
          <w:lang w:val="es-ES" w:eastAsia="en-US"/>
        </w:rPr>
      </w:pPr>
    </w:p>
    <w:p w:rsidR="00BE6715" w:rsidRDefault="00BE6715" w:rsidP="009E4745">
      <w:pPr>
        <w:shd w:val="clear" w:color="auto" w:fill="auto"/>
        <w:spacing w:line="360" w:lineRule="auto"/>
        <w:rPr>
          <w:rFonts w:eastAsiaTheme="minorHAnsi"/>
          <w:color w:val="auto"/>
          <w:shd w:val="clear" w:color="auto" w:fill="auto"/>
          <w:lang w:val="es-ES" w:eastAsia="en-US"/>
        </w:rPr>
      </w:pPr>
    </w:p>
    <w:p w:rsidR="00BE6715" w:rsidRDefault="00BE6715" w:rsidP="009E4745">
      <w:pPr>
        <w:shd w:val="clear" w:color="auto" w:fill="auto"/>
        <w:spacing w:line="360" w:lineRule="auto"/>
        <w:rPr>
          <w:rFonts w:eastAsiaTheme="minorHAnsi"/>
          <w:color w:val="auto"/>
          <w:shd w:val="clear" w:color="auto" w:fill="auto"/>
          <w:lang w:val="es-ES" w:eastAsia="en-US"/>
        </w:rPr>
      </w:pPr>
    </w:p>
    <w:p w:rsidR="00BE6715" w:rsidRDefault="00BE6715" w:rsidP="009E4745">
      <w:pPr>
        <w:shd w:val="clear" w:color="auto" w:fill="auto"/>
        <w:spacing w:line="360" w:lineRule="auto"/>
        <w:rPr>
          <w:rFonts w:eastAsiaTheme="minorHAnsi"/>
          <w:color w:val="auto"/>
          <w:shd w:val="clear" w:color="auto" w:fill="auto"/>
          <w:lang w:val="es-ES" w:eastAsia="en-US"/>
        </w:rPr>
      </w:pPr>
    </w:p>
    <w:p w:rsidR="00BE6715" w:rsidRDefault="00BE6715" w:rsidP="009E4745">
      <w:pPr>
        <w:shd w:val="clear" w:color="auto" w:fill="auto"/>
        <w:spacing w:line="360" w:lineRule="auto"/>
        <w:rPr>
          <w:rFonts w:eastAsiaTheme="minorHAnsi"/>
          <w:color w:val="auto"/>
          <w:shd w:val="clear" w:color="auto" w:fill="auto"/>
          <w:lang w:val="es-ES" w:eastAsia="en-US"/>
        </w:rPr>
      </w:pPr>
    </w:p>
    <w:p w:rsidR="00BE6715" w:rsidRDefault="00BE6715" w:rsidP="009E4745">
      <w:pPr>
        <w:shd w:val="clear" w:color="auto" w:fill="auto"/>
        <w:spacing w:line="360" w:lineRule="auto"/>
        <w:rPr>
          <w:rFonts w:eastAsiaTheme="minorHAnsi"/>
          <w:color w:val="auto"/>
          <w:shd w:val="clear" w:color="auto" w:fill="auto"/>
          <w:lang w:val="es-ES" w:eastAsia="en-US"/>
        </w:rPr>
      </w:pPr>
    </w:p>
    <w:p w:rsidR="00BE6715" w:rsidRDefault="00BE6715" w:rsidP="009E4745">
      <w:pPr>
        <w:shd w:val="clear" w:color="auto" w:fill="auto"/>
        <w:spacing w:line="360" w:lineRule="auto"/>
        <w:rPr>
          <w:rFonts w:eastAsiaTheme="minorHAnsi"/>
          <w:color w:val="auto"/>
          <w:shd w:val="clear" w:color="auto" w:fill="auto"/>
          <w:lang w:val="es-ES" w:eastAsia="en-US"/>
        </w:rPr>
      </w:pPr>
    </w:p>
    <w:p w:rsidR="00BE6715" w:rsidRDefault="00BE6715" w:rsidP="009E4745">
      <w:pPr>
        <w:shd w:val="clear" w:color="auto" w:fill="auto"/>
        <w:spacing w:line="360" w:lineRule="auto"/>
        <w:rPr>
          <w:rFonts w:eastAsiaTheme="minorHAnsi"/>
          <w:color w:val="auto"/>
          <w:shd w:val="clear" w:color="auto" w:fill="auto"/>
          <w:lang w:val="es-ES" w:eastAsia="en-US"/>
        </w:rPr>
      </w:pPr>
    </w:p>
    <w:p w:rsidR="00BE6715" w:rsidRDefault="00BE6715" w:rsidP="009E4745">
      <w:pPr>
        <w:shd w:val="clear" w:color="auto" w:fill="auto"/>
        <w:spacing w:line="360" w:lineRule="auto"/>
        <w:rPr>
          <w:rFonts w:eastAsiaTheme="minorHAnsi"/>
          <w:color w:val="auto"/>
          <w:shd w:val="clear" w:color="auto" w:fill="auto"/>
          <w:lang w:val="es-ES" w:eastAsia="en-US"/>
        </w:rPr>
      </w:pPr>
    </w:p>
    <w:p w:rsidR="00BE6715" w:rsidRPr="009E4745" w:rsidRDefault="00BE6715" w:rsidP="009E4745">
      <w:pPr>
        <w:shd w:val="clear" w:color="auto" w:fill="auto"/>
        <w:spacing w:line="360" w:lineRule="auto"/>
        <w:rPr>
          <w:rFonts w:asciiTheme="minorHAnsi" w:eastAsiaTheme="minorHAnsi" w:hAnsiTheme="minorHAnsi" w:cstheme="minorHAnsi"/>
          <w:color w:val="auto"/>
          <w:shd w:val="clear" w:color="auto" w:fill="auto"/>
          <w:lang w:val="es-ES" w:eastAsia="en-US"/>
        </w:rPr>
      </w:pP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lastRenderedPageBreak/>
        <w:t>Tabla 4. Asociación de burnout con algunas variables</w:t>
      </w:r>
    </w:p>
    <w:tbl>
      <w:tblPr>
        <w:tblW w:w="5775" w:type="dxa"/>
        <w:jc w:val="center"/>
        <w:tblCellSpacing w:w="0" w:type="dxa"/>
        <w:tblCellMar>
          <w:left w:w="0" w:type="dxa"/>
          <w:right w:w="0" w:type="dxa"/>
        </w:tblCellMar>
        <w:tblLook w:val="04A0" w:firstRow="1" w:lastRow="0" w:firstColumn="1" w:lastColumn="0" w:noHBand="0" w:noVBand="1"/>
      </w:tblPr>
      <w:tblGrid>
        <w:gridCol w:w="2092"/>
        <w:gridCol w:w="849"/>
        <w:gridCol w:w="850"/>
        <w:gridCol w:w="850"/>
        <w:gridCol w:w="1134"/>
      </w:tblGrid>
      <w:tr w:rsidR="009E4745" w:rsidRPr="009E4745" w:rsidTr="00060B2B">
        <w:trPr>
          <w:tblCellSpacing w:w="0" w:type="dxa"/>
          <w:jc w:val="center"/>
        </w:trPr>
        <w:tc>
          <w:tcPr>
            <w:tcW w:w="2092"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 </w:t>
            </w:r>
          </w:p>
        </w:tc>
        <w:tc>
          <w:tcPr>
            <w:tcW w:w="1699" w:type="dxa"/>
            <w:gridSpan w:val="2"/>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Burnout</w:t>
            </w:r>
          </w:p>
        </w:tc>
        <w:tc>
          <w:tcPr>
            <w:tcW w:w="850"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 </w:t>
            </w:r>
          </w:p>
        </w:tc>
        <w:tc>
          <w:tcPr>
            <w:tcW w:w="1134"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 </w:t>
            </w:r>
          </w:p>
        </w:tc>
      </w:tr>
      <w:tr w:rsidR="009E4745" w:rsidRPr="009E4745" w:rsidTr="00060B2B">
        <w:trPr>
          <w:tblCellSpacing w:w="0" w:type="dxa"/>
          <w:jc w:val="center"/>
        </w:trPr>
        <w:tc>
          <w:tcPr>
            <w:tcW w:w="2092"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 </w:t>
            </w:r>
          </w:p>
        </w:tc>
        <w:tc>
          <w:tcPr>
            <w:tcW w:w="849"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Si</w:t>
            </w:r>
          </w:p>
        </w:tc>
        <w:tc>
          <w:tcPr>
            <w:tcW w:w="850"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No</w:t>
            </w:r>
          </w:p>
        </w:tc>
        <w:tc>
          <w:tcPr>
            <w:tcW w:w="850"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X</w:t>
            </w:r>
            <w:r w:rsidRPr="009E4745">
              <w:rPr>
                <w:rFonts w:asciiTheme="minorHAnsi" w:hAnsiTheme="minorHAnsi" w:cstheme="minorHAnsi"/>
                <w:b/>
                <w:color w:val="auto"/>
                <w:shd w:val="clear" w:color="auto" w:fill="auto"/>
                <w:vertAlign w:val="superscript"/>
                <w:lang w:val="es-MX" w:eastAsia="es-ES"/>
              </w:rPr>
              <w:t>2</w:t>
            </w:r>
          </w:p>
        </w:tc>
        <w:tc>
          <w:tcPr>
            <w:tcW w:w="1134"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p</w:t>
            </w:r>
          </w:p>
        </w:tc>
      </w:tr>
      <w:tr w:rsidR="009E4745" w:rsidRPr="009E4745" w:rsidTr="00060B2B">
        <w:trPr>
          <w:trHeight w:val="590"/>
          <w:tblCellSpacing w:w="0" w:type="dxa"/>
          <w:jc w:val="center"/>
        </w:trPr>
        <w:tc>
          <w:tcPr>
            <w:tcW w:w="2092"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Ansiedad       Si</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                      No</w:t>
            </w:r>
          </w:p>
        </w:tc>
        <w:tc>
          <w:tcPr>
            <w:tcW w:w="849"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39</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9</w:t>
            </w:r>
          </w:p>
        </w:tc>
        <w:tc>
          <w:tcPr>
            <w:tcW w:w="850"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107</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106</w:t>
            </w:r>
          </w:p>
        </w:tc>
        <w:tc>
          <w:tcPr>
            <w:tcW w:w="850"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15.07</w:t>
            </w:r>
          </w:p>
        </w:tc>
        <w:tc>
          <w:tcPr>
            <w:tcW w:w="1134"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&lt;0.001</w:t>
            </w:r>
          </w:p>
        </w:tc>
      </w:tr>
      <w:tr w:rsidR="009E4745" w:rsidRPr="009E4745" w:rsidTr="00060B2B">
        <w:trPr>
          <w:trHeight w:val="566"/>
          <w:tblCellSpacing w:w="0" w:type="dxa"/>
          <w:jc w:val="center"/>
        </w:trPr>
        <w:tc>
          <w:tcPr>
            <w:tcW w:w="2092" w:type="dxa"/>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Depresión     Si</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                      No</w:t>
            </w:r>
          </w:p>
        </w:tc>
        <w:tc>
          <w:tcPr>
            <w:tcW w:w="849" w:type="dxa"/>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21</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21</w:t>
            </w:r>
          </w:p>
        </w:tc>
        <w:tc>
          <w:tcPr>
            <w:tcW w:w="850" w:type="dxa"/>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33</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180</w:t>
            </w:r>
          </w:p>
        </w:tc>
        <w:tc>
          <w:tcPr>
            <w:tcW w:w="850" w:type="dxa"/>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19.06</w:t>
            </w:r>
          </w:p>
        </w:tc>
        <w:tc>
          <w:tcPr>
            <w:tcW w:w="1134" w:type="dxa"/>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&lt;0.001</w:t>
            </w:r>
          </w:p>
        </w:tc>
      </w:tr>
      <w:tr w:rsidR="009E4745" w:rsidRPr="009E4745" w:rsidTr="00060B2B">
        <w:trPr>
          <w:trHeight w:val="560"/>
          <w:tblCellSpacing w:w="0" w:type="dxa"/>
          <w:jc w:val="center"/>
        </w:trPr>
        <w:tc>
          <w:tcPr>
            <w:tcW w:w="2092" w:type="dxa"/>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Turno   Matutino</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             Vespertino</w:t>
            </w:r>
          </w:p>
        </w:tc>
        <w:tc>
          <w:tcPr>
            <w:tcW w:w="849" w:type="dxa"/>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29</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19</w:t>
            </w:r>
          </w:p>
        </w:tc>
        <w:tc>
          <w:tcPr>
            <w:tcW w:w="850" w:type="dxa"/>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132</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81</w:t>
            </w:r>
          </w:p>
        </w:tc>
        <w:tc>
          <w:tcPr>
            <w:tcW w:w="850" w:type="dxa"/>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0.04</w:t>
            </w:r>
          </w:p>
        </w:tc>
        <w:tc>
          <w:tcPr>
            <w:tcW w:w="1134" w:type="dxa"/>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0.841</w:t>
            </w:r>
          </w:p>
        </w:tc>
      </w:tr>
      <w:tr w:rsidR="009E4745" w:rsidRPr="009E4745" w:rsidTr="00060B2B">
        <w:trPr>
          <w:tblCellSpacing w:w="0" w:type="dxa"/>
          <w:jc w:val="center"/>
        </w:trPr>
        <w:tc>
          <w:tcPr>
            <w:tcW w:w="2092"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Semestre    1 a 5°</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                  6 a 8°</w:t>
            </w:r>
          </w:p>
        </w:tc>
        <w:tc>
          <w:tcPr>
            <w:tcW w:w="849"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33</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15</w:t>
            </w:r>
          </w:p>
        </w:tc>
        <w:tc>
          <w:tcPr>
            <w:tcW w:w="850"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120</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93</w:t>
            </w:r>
          </w:p>
        </w:tc>
        <w:tc>
          <w:tcPr>
            <w:tcW w:w="850"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2.48</w:t>
            </w:r>
          </w:p>
        </w:tc>
        <w:tc>
          <w:tcPr>
            <w:tcW w:w="1134"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0.115</w:t>
            </w:r>
          </w:p>
        </w:tc>
      </w:tr>
    </w:tbl>
    <w:p w:rsidR="009E4745" w:rsidRDefault="009E4745" w:rsidP="009E4745">
      <w:pPr>
        <w:shd w:val="clear" w:color="auto" w:fill="auto"/>
        <w:spacing w:line="360" w:lineRule="auto"/>
        <w:rPr>
          <w:rFonts w:asciiTheme="minorHAnsi" w:eastAsiaTheme="minorHAnsi" w:hAnsiTheme="minorHAnsi" w:cstheme="minorHAnsi"/>
          <w:color w:val="auto"/>
          <w:shd w:val="clear" w:color="auto" w:fill="auto"/>
          <w:lang w:val="es-ES" w:eastAsia="en-US"/>
        </w:rPr>
      </w:pPr>
    </w:p>
    <w:p w:rsidR="009E4745" w:rsidRDefault="009E4745" w:rsidP="009E4745">
      <w:pPr>
        <w:shd w:val="clear" w:color="auto" w:fill="auto"/>
        <w:spacing w:line="360" w:lineRule="auto"/>
        <w:rPr>
          <w:rFonts w:eastAsiaTheme="minorHAnsi"/>
          <w:color w:val="auto"/>
          <w:shd w:val="clear" w:color="auto" w:fill="auto"/>
          <w:lang w:val="es-ES" w:eastAsia="en-US"/>
        </w:rPr>
      </w:pPr>
      <w:r w:rsidRPr="00BE6715">
        <w:rPr>
          <w:rFonts w:eastAsiaTheme="minorHAnsi"/>
          <w:color w:val="auto"/>
          <w:shd w:val="clear" w:color="auto" w:fill="auto"/>
          <w:lang w:val="es-ES" w:eastAsia="en-US"/>
        </w:rPr>
        <w:t>Los primeros semestres presentan mayor tasa de afectación emocional que los últimos (p&lt;0.05). No hay diferencias con cinismo, eficiencia académica ni con la tasa global de burnout (Tabla 5)</w:t>
      </w:r>
    </w:p>
    <w:p w:rsidR="00BE6715" w:rsidRDefault="00BE6715" w:rsidP="009E4745">
      <w:pPr>
        <w:shd w:val="clear" w:color="auto" w:fill="auto"/>
        <w:spacing w:line="360" w:lineRule="auto"/>
        <w:rPr>
          <w:rFonts w:eastAsiaTheme="minorHAnsi"/>
          <w:color w:val="auto"/>
          <w:shd w:val="clear" w:color="auto" w:fill="auto"/>
          <w:lang w:val="es-ES" w:eastAsia="en-US"/>
        </w:rPr>
      </w:pPr>
    </w:p>
    <w:p w:rsidR="00BE6715" w:rsidRDefault="00BE6715" w:rsidP="009E4745">
      <w:pPr>
        <w:shd w:val="clear" w:color="auto" w:fill="auto"/>
        <w:spacing w:line="360" w:lineRule="auto"/>
        <w:rPr>
          <w:rFonts w:eastAsiaTheme="minorHAnsi"/>
          <w:color w:val="auto"/>
          <w:shd w:val="clear" w:color="auto" w:fill="auto"/>
          <w:lang w:val="es-ES" w:eastAsia="en-US"/>
        </w:rPr>
      </w:pPr>
    </w:p>
    <w:p w:rsidR="00BE6715" w:rsidRDefault="00BE6715" w:rsidP="009E4745">
      <w:pPr>
        <w:shd w:val="clear" w:color="auto" w:fill="auto"/>
        <w:spacing w:line="360" w:lineRule="auto"/>
        <w:rPr>
          <w:rFonts w:eastAsiaTheme="minorHAnsi"/>
          <w:color w:val="auto"/>
          <w:shd w:val="clear" w:color="auto" w:fill="auto"/>
          <w:lang w:val="es-ES" w:eastAsia="en-US"/>
        </w:rPr>
      </w:pPr>
    </w:p>
    <w:p w:rsidR="00BE6715" w:rsidRDefault="00BE6715" w:rsidP="009E4745">
      <w:pPr>
        <w:shd w:val="clear" w:color="auto" w:fill="auto"/>
        <w:spacing w:line="360" w:lineRule="auto"/>
        <w:rPr>
          <w:rFonts w:eastAsiaTheme="minorHAnsi"/>
          <w:color w:val="auto"/>
          <w:shd w:val="clear" w:color="auto" w:fill="auto"/>
          <w:lang w:val="es-ES" w:eastAsia="en-US"/>
        </w:rPr>
      </w:pPr>
    </w:p>
    <w:p w:rsidR="00BE6715" w:rsidRDefault="00BE6715" w:rsidP="009E4745">
      <w:pPr>
        <w:shd w:val="clear" w:color="auto" w:fill="auto"/>
        <w:spacing w:line="360" w:lineRule="auto"/>
        <w:rPr>
          <w:rFonts w:eastAsiaTheme="minorHAnsi"/>
          <w:color w:val="auto"/>
          <w:shd w:val="clear" w:color="auto" w:fill="auto"/>
          <w:lang w:val="es-ES" w:eastAsia="en-US"/>
        </w:rPr>
      </w:pPr>
    </w:p>
    <w:p w:rsidR="00BE6715" w:rsidRDefault="00BE6715" w:rsidP="009E4745">
      <w:pPr>
        <w:shd w:val="clear" w:color="auto" w:fill="auto"/>
        <w:spacing w:line="360" w:lineRule="auto"/>
        <w:rPr>
          <w:rFonts w:eastAsiaTheme="minorHAnsi"/>
          <w:color w:val="auto"/>
          <w:shd w:val="clear" w:color="auto" w:fill="auto"/>
          <w:lang w:val="es-ES" w:eastAsia="en-US"/>
        </w:rPr>
      </w:pPr>
    </w:p>
    <w:p w:rsidR="00BE6715" w:rsidRDefault="00BE6715" w:rsidP="009E4745">
      <w:pPr>
        <w:shd w:val="clear" w:color="auto" w:fill="auto"/>
        <w:spacing w:line="360" w:lineRule="auto"/>
        <w:rPr>
          <w:rFonts w:eastAsiaTheme="minorHAnsi"/>
          <w:color w:val="auto"/>
          <w:shd w:val="clear" w:color="auto" w:fill="auto"/>
          <w:lang w:val="es-ES" w:eastAsia="en-US"/>
        </w:rPr>
      </w:pPr>
    </w:p>
    <w:p w:rsidR="00BE6715" w:rsidRDefault="00BE6715" w:rsidP="009E4745">
      <w:pPr>
        <w:shd w:val="clear" w:color="auto" w:fill="auto"/>
        <w:spacing w:line="360" w:lineRule="auto"/>
        <w:rPr>
          <w:rFonts w:eastAsiaTheme="minorHAnsi"/>
          <w:color w:val="auto"/>
          <w:shd w:val="clear" w:color="auto" w:fill="auto"/>
          <w:lang w:val="es-ES" w:eastAsia="en-US"/>
        </w:rPr>
      </w:pPr>
    </w:p>
    <w:p w:rsidR="00BE6715" w:rsidRDefault="00BE6715" w:rsidP="009E4745">
      <w:pPr>
        <w:shd w:val="clear" w:color="auto" w:fill="auto"/>
        <w:spacing w:line="360" w:lineRule="auto"/>
        <w:rPr>
          <w:rFonts w:eastAsiaTheme="minorHAnsi"/>
          <w:color w:val="auto"/>
          <w:shd w:val="clear" w:color="auto" w:fill="auto"/>
          <w:lang w:val="es-ES" w:eastAsia="en-US"/>
        </w:rPr>
      </w:pPr>
    </w:p>
    <w:p w:rsidR="00BE6715" w:rsidRPr="00BE6715" w:rsidRDefault="00BE6715" w:rsidP="009E4745">
      <w:pPr>
        <w:shd w:val="clear" w:color="auto" w:fill="auto"/>
        <w:spacing w:line="360" w:lineRule="auto"/>
        <w:rPr>
          <w:rFonts w:eastAsiaTheme="minorHAnsi"/>
          <w:color w:val="auto"/>
          <w:shd w:val="clear" w:color="auto" w:fill="auto"/>
          <w:lang w:val="es-ES" w:eastAsia="en-US"/>
        </w:rPr>
      </w:pPr>
    </w:p>
    <w:p w:rsidR="009E4745" w:rsidRPr="009E4745" w:rsidRDefault="009E4745" w:rsidP="009E4745">
      <w:pPr>
        <w:shd w:val="clear" w:color="auto" w:fill="auto"/>
        <w:spacing w:line="360" w:lineRule="auto"/>
        <w:rPr>
          <w:rFonts w:asciiTheme="minorHAnsi" w:eastAsiaTheme="minorHAnsi" w:hAnsiTheme="minorHAnsi" w:cstheme="minorHAnsi"/>
          <w:color w:val="auto"/>
          <w:shd w:val="clear" w:color="auto" w:fill="auto"/>
          <w:lang w:val="es-ES" w:eastAsia="en-US"/>
        </w:rPr>
      </w:pP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lastRenderedPageBreak/>
        <w:t>Tabla 5. Diferencias en puntuaciones de acuerdo a semestre de la escuela</w:t>
      </w:r>
    </w:p>
    <w:tbl>
      <w:tblPr>
        <w:tblW w:w="0" w:type="auto"/>
        <w:jc w:val="center"/>
        <w:tblCellSpacing w:w="0" w:type="dxa"/>
        <w:tblCellMar>
          <w:left w:w="0" w:type="dxa"/>
          <w:right w:w="0" w:type="dxa"/>
        </w:tblCellMar>
        <w:tblLook w:val="04A0" w:firstRow="1" w:lastRow="0" w:firstColumn="1" w:lastColumn="0" w:noHBand="0" w:noVBand="1"/>
      </w:tblPr>
      <w:tblGrid>
        <w:gridCol w:w="2556"/>
        <w:gridCol w:w="1255"/>
        <w:gridCol w:w="1266"/>
        <w:gridCol w:w="850"/>
        <w:gridCol w:w="992"/>
      </w:tblGrid>
      <w:tr w:rsidR="009E4745" w:rsidRPr="009E4745" w:rsidTr="00060B2B">
        <w:trPr>
          <w:tblCellSpacing w:w="0" w:type="dxa"/>
          <w:jc w:val="center"/>
        </w:trPr>
        <w:tc>
          <w:tcPr>
            <w:tcW w:w="2556" w:type="dxa"/>
            <w:tcBorders>
              <w:top w:val="outset" w:sz="8" w:space="0" w:color="auto"/>
              <w:left w:val="nil"/>
              <w:bottom w:val="outset" w:sz="8" w:space="0" w:color="auto"/>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 </w:t>
            </w:r>
          </w:p>
        </w:tc>
        <w:tc>
          <w:tcPr>
            <w:tcW w:w="1255" w:type="dxa"/>
            <w:tcBorders>
              <w:top w:val="outset" w:sz="8" w:space="0" w:color="auto"/>
              <w:left w:val="nil"/>
              <w:bottom w:val="outset" w:sz="8" w:space="0" w:color="auto"/>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1 a 5 Semestre</w:t>
            </w:r>
          </w:p>
        </w:tc>
        <w:tc>
          <w:tcPr>
            <w:tcW w:w="1266" w:type="dxa"/>
            <w:tcBorders>
              <w:top w:val="outset" w:sz="8" w:space="0" w:color="auto"/>
              <w:left w:val="nil"/>
              <w:bottom w:val="outset" w:sz="8" w:space="0" w:color="auto"/>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6 a 8 Semestre</w:t>
            </w:r>
          </w:p>
        </w:tc>
        <w:tc>
          <w:tcPr>
            <w:tcW w:w="850" w:type="dxa"/>
            <w:tcBorders>
              <w:top w:val="outset" w:sz="8" w:space="0" w:color="auto"/>
              <w:left w:val="nil"/>
              <w:bottom w:val="outset" w:sz="8" w:space="0" w:color="auto"/>
              <w:right w:val="nil"/>
            </w:tcBorders>
            <w:tcMar>
              <w:top w:w="0" w:type="dxa"/>
              <w:left w:w="108" w:type="dxa"/>
              <w:bottom w:w="0" w:type="dxa"/>
              <w:right w:w="108" w:type="dxa"/>
            </w:tcMar>
            <w:vAlign w:val="cente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X</w:t>
            </w:r>
            <w:r w:rsidRPr="009E4745">
              <w:rPr>
                <w:rFonts w:asciiTheme="minorHAnsi" w:hAnsiTheme="minorHAnsi" w:cstheme="minorHAnsi"/>
                <w:b/>
                <w:color w:val="auto"/>
                <w:shd w:val="clear" w:color="auto" w:fill="auto"/>
                <w:vertAlign w:val="superscript"/>
                <w:lang w:val="es-MX" w:eastAsia="es-ES"/>
              </w:rPr>
              <w:t>2</w:t>
            </w:r>
          </w:p>
        </w:tc>
        <w:tc>
          <w:tcPr>
            <w:tcW w:w="992" w:type="dxa"/>
            <w:tcBorders>
              <w:top w:val="outset" w:sz="8" w:space="0" w:color="auto"/>
              <w:left w:val="nil"/>
              <w:bottom w:val="outset" w:sz="8" w:space="0" w:color="auto"/>
              <w:right w:val="nil"/>
            </w:tcBorders>
            <w:tcMar>
              <w:top w:w="0" w:type="dxa"/>
              <w:left w:w="108" w:type="dxa"/>
              <w:bottom w:w="0" w:type="dxa"/>
              <w:right w:w="108" w:type="dxa"/>
            </w:tcMar>
            <w:vAlign w:val="cente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p</w:t>
            </w:r>
          </w:p>
        </w:tc>
      </w:tr>
      <w:tr w:rsidR="009E4745" w:rsidRPr="009E4745" w:rsidTr="00060B2B">
        <w:trPr>
          <w:trHeight w:val="862"/>
          <w:tblCellSpacing w:w="0" w:type="dxa"/>
          <w:jc w:val="center"/>
        </w:trPr>
        <w:tc>
          <w:tcPr>
            <w:tcW w:w="2556"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Afectación emocional</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                  51 a 100%</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                    0 a 50%</w:t>
            </w:r>
          </w:p>
        </w:tc>
        <w:tc>
          <w:tcPr>
            <w:tcW w:w="1255"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 </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32</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121</w:t>
            </w:r>
          </w:p>
        </w:tc>
        <w:tc>
          <w:tcPr>
            <w:tcW w:w="1266"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 </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8</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100</w:t>
            </w:r>
          </w:p>
        </w:tc>
        <w:tc>
          <w:tcPr>
            <w:tcW w:w="850"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 </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8.9</w:t>
            </w:r>
          </w:p>
        </w:tc>
        <w:tc>
          <w:tcPr>
            <w:tcW w:w="992"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 </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0.0028</w:t>
            </w:r>
          </w:p>
        </w:tc>
      </w:tr>
      <w:tr w:rsidR="009E4745" w:rsidRPr="009E4745" w:rsidTr="00060B2B">
        <w:trPr>
          <w:trHeight w:val="847"/>
          <w:tblCellSpacing w:w="0" w:type="dxa"/>
          <w:jc w:val="center"/>
        </w:trPr>
        <w:tc>
          <w:tcPr>
            <w:tcW w:w="2556"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Cinismo</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                  51 a 100%</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                    0 a 50%</w:t>
            </w:r>
          </w:p>
        </w:tc>
        <w:tc>
          <w:tcPr>
            <w:tcW w:w="1255"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 </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2</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151</w:t>
            </w:r>
          </w:p>
        </w:tc>
        <w:tc>
          <w:tcPr>
            <w:tcW w:w="1266"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 </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3</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105</w:t>
            </w:r>
          </w:p>
        </w:tc>
        <w:tc>
          <w:tcPr>
            <w:tcW w:w="850"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 </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0.72</w:t>
            </w:r>
          </w:p>
        </w:tc>
        <w:tc>
          <w:tcPr>
            <w:tcW w:w="992"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 </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0.39</w:t>
            </w:r>
          </w:p>
        </w:tc>
      </w:tr>
      <w:tr w:rsidR="009E4745" w:rsidRPr="009E4745" w:rsidTr="00060B2B">
        <w:trPr>
          <w:tblCellSpacing w:w="0" w:type="dxa"/>
          <w:jc w:val="center"/>
        </w:trPr>
        <w:tc>
          <w:tcPr>
            <w:tcW w:w="2556"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Eficiencia académica</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 xml:space="preserve">                    0 a 50%   </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                  51 a 100%</w:t>
            </w:r>
          </w:p>
        </w:tc>
        <w:tc>
          <w:tcPr>
            <w:tcW w:w="1255"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 </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14</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139</w:t>
            </w:r>
          </w:p>
        </w:tc>
        <w:tc>
          <w:tcPr>
            <w:tcW w:w="1266"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 </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10</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98</w:t>
            </w:r>
          </w:p>
        </w:tc>
        <w:tc>
          <w:tcPr>
            <w:tcW w:w="850"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 </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0.03</w:t>
            </w:r>
          </w:p>
        </w:tc>
        <w:tc>
          <w:tcPr>
            <w:tcW w:w="992"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 </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0.97</w:t>
            </w:r>
          </w:p>
        </w:tc>
      </w:tr>
      <w:tr w:rsidR="009E4745" w:rsidRPr="009E4745" w:rsidTr="00060B2B">
        <w:trPr>
          <w:tblCellSpacing w:w="0" w:type="dxa"/>
          <w:jc w:val="center"/>
        </w:trPr>
        <w:tc>
          <w:tcPr>
            <w:tcW w:w="2556" w:type="dxa"/>
            <w:tcBorders>
              <w:top w:val="nil"/>
              <w:left w:val="nil"/>
              <w:bottom w:val="outset" w:sz="8" w:space="0" w:color="auto"/>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Burnout</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                              Si</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                             No</w:t>
            </w:r>
          </w:p>
        </w:tc>
        <w:tc>
          <w:tcPr>
            <w:tcW w:w="1255" w:type="dxa"/>
            <w:tcBorders>
              <w:top w:val="nil"/>
              <w:left w:val="nil"/>
              <w:bottom w:val="outset" w:sz="8" w:space="0" w:color="auto"/>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 </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33</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120</w:t>
            </w:r>
          </w:p>
        </w:tc>
        <w:tc>
          <w:tcPr>
            <w:tcW w:w="1266" w:type="dxa"/>
            <w:tcBorders>
              <w:top w:val="nil"/>
              <w:left w:val="nil"/>
              <w:bottom w:val="outset" w:sz="8" w:space="0" w:color="auto"/>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 </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15</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93</w:t>
            </w:r>
          </w:p>
        </w:tc>
        <w:tc>
          <w:tcPr>
            <w:tcW w:w="850" w:type="dxa"/>
            <w:tcBorders>
              <w:top w:val="nil"/>
              <w:left w:val="nil"/>
              <w:bottom w:val="outset" w:sz="8" w:space="0" w:color="auto"/>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 </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2.49</w:t>
            </w:r>
          </w:p>
        </w:tc>
        <w:tc>
          <w:tcPr>
            <w:tcW w:w="992" w:type="dxa"/>
            <w:tcBorders>
              <w:top w:val="nil"/>
              <w:left w:val="nil"/>
              <w:bottom w:val="outset" w:sz="8" w:space="0" w:color="auto"/>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 </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0.11</w:t>
            </w:r>
          </w:p>
        </w:tc>
      </w:tr>
    </w:tbl>
    <w:p w:rsidR="009E4745" w:rsidRPr="009E4745" w:rsidRDefault="009E4745" w:rsidP="009E4745">
      <w:pPr>
        <w:shd w:val="clear" w:color="auto" w:fill="auto"/>
        <w:spacing w:before="100" w:beforeAutospacing="1" w:line="360" w:lineRule="auto"/>
        <w:rPr>
          <w:rFonts w:asciiTheme="minorHAnsi" w:hAnsiTheme="minorHAnsi" w:cstheme="minorHAnsi"/>
          <w:color w:val="auto"/>
          <w:shd w:val="clear" w:color="auto" w:fill="auto"/>
          <w:lang w:val="es-ES" w:eastAsia="es-ES"/>
        </w:rPr>
      </w:pPr>
      <w:r w:rsidRPr="009E4745">
        <w:rPr>
          <w:rFonts w:asciiTheme="minorHAnsi" w:hAnsiTheme="minorHAnsi" w:cstheme="minorHAnsi"/>
          <w:b/>
          <w:bCs/>
          <w:color w:val="auto"/>
          <w:shd w:val="clear" w:color="auto" w:fill="auto"/>
          <w:lang w:val="es-ES" w:eastAsia="es-ES"/>
        </w:rPr>
        <w:t> </w:t>
      </w:r>
    </w:p>
    <w:p w:rsidR="009E4745" w:rsidRPr="00BE6715" w:rsidRDefault="009E4745" w:rsidP="009E4745">
      <w:pPr>
        <w:shd w:val="clear" w:color="auto" w:fill="auto"/>
        <w:spacing w:line="360" w:lineRule="auto"/>
        <w:rPr>
          <w:rFonts w:eastAsiaTheme="minorHAnsi"/>
          <w:color w:val="auto"/>
          <w:shd w:val="clear" w:color="auto" w:fill="auto"/>
          <w:lang w:val="es-ES" w:eastAsia="en-US"/>
        </w:rPr>
      </w:pPr>
      <w:r w:rsidRPr="00BE6715">
        <w:rPr>
          <w:rFonts w:eastAsiaTheme="minorHAnsi"/>
          <w:color w:val="auto"/>
          <w:shd w:val="clear" w:color="auto" w:fill="auto"/>
          <w:lang w:val="es-ES" w:eastAsia="en-US"/>
        </w:rPr>
        <w:t>También es mayor la frecuencia de ansiedad en los primeros semestres, principalmente en su componente psicológico (p&lt;0.001), así como la de depresión (Tabla 6). No se encuentran diferencias en burnout, ansiedad o depresión de acuerdo al turno matutino o vespertino al que pertenecen los alumnos.</w:t>
      </w:r>
    </w:p>
    <w:p w:rsidR="009E4745" w:rsidRPr="009E4745" w:rsidRDefault="009E4745" w:rsidP="009E4745">
      <w:pPr>
        <w:shd w:val="clear" w:color="auto" w:fill="auto"/>
        <w:spacing w:line="360" w:lineRule="auto"/>
        <w:rPr>
          <w:rFonts w:asciiTheme="minorHAnsi" w:eastAsiaTheme="minorHAnsi" w:hAnsiTheme="minorHAnsi" w:cstheme="minorHAnsi"/>
          <w:color w:val="auto"/>
          <w:shd w:val="clear" w:color="auto" w:fill="auto"/>
          <w:lang w:val="es-ES" w:eastAsia="en-US"/>
        </w:rPr>
      </w:pPr>
    </w:p>
    <w:p w:rsidR="009E4745" w:rsidRPr="009E4745" w:rsidRDefault="009E4745" w:rsidP="009E4745">
      <w:pPr>
        <w:shd w:val="clear" w:color="auto" w:fill="auto"/>
        <w:spacing w:line="360" w:lineRule="auto"/>
        <w:rPr>
          <w:rFonts w:asciiTheme="minorHAnsi" w:eastAsiaTheme="minorHAnsi" w:hAnsiTheme="minorHAnsi" w:cstheme="minorHAnsi"/>
          <w:color w:val="auto"/>
          <w:shd w:val="clear" w:color="auto" w:fill="auto"/>
          <w:lang w:val="es-ES" w:eastAsia="en-US"/>
        </w:rPr>
      </w:pP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lastRenderedPageBreak/>
        <w:t>Tabla 6. Diferencias de ansiedad y depresión de acuerdo a semestre cursado</w:t>
      </w:r>
    </w:p>
    <w:tbl>
      <w:tblPr>
        <w:tblW w:w="0" w:type="auto"/>
        <w:jc w:val="center"/>
        <w:tblCellSpacing w:w="0" w:type="dxa"/>
        <w:tblCellMar>
          <w:left w:w="0" w:type="dxa"/>
          <w:right w:w="0" w:type="dxa"/>
        </w:tblCellMar>
        <w:tblLook w:val="04A0" w:firstRow="1" w:lastRow="0" w:firstColumn="1" w:lastColumn="0" w:noHBand="0" w:noVBand="1"/>
      </w:tblPr>
      <w:tblGrid>
        <w:gridCol w:w="3325"/>
        <w:gridCol w:w="1255"/>
        <w:gridCol w:w="1266"/>
        <w:gridCol w:w="850"/>
        <w:gridCol w:w="992"/>
      </w:tblGrid>
      <w:tr w:rsidR="009E4745" w:rsidRPr="009E4745" w:rsidTr="00060B2B">
        <w:trPr>
          <w:tblCellSpacing w:w="0" w:type="dxa"/>
          <w:jc w:val="center"/>
        </w:trPr>
        <w:tc>
          <w:tcPr>
            <w:tcW w:w="3325" w:type="dxa"/>
            <w:tcBorders>
              <w:top w:val="outset" w:sz="8" w:space="0" w:color="auto"/>
              <w:left w:val="nil"/>
              <w:bottom w:val="outset" w:sz="8" w:space="0" w:color="auto"/>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 </w:t>
            </w:r>
          </w:p>
        </w:tc>
        <w:tc>
          <w:tcPr>
            <w:tcW w:w="1255" w:type="dxa"/>
            <w:tcBorders>
              <w:top w:val="outset" w:sz="8" w:space="0" w:color="auto"/>
              <w:left w:val="nil"/>
              <w:bottom w:val="outset" w:sz="8" w:space="0" w:color="auto"/>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1 a 5 Semestre</w:t>
            </w:r>
          </w:p>
        </w:tc>
        <w:tc>
          <w:tcPr>
            <w:tcW w:w="1266" w:type="dxa"/>
            <w:tcBorders>
              <w:top w:val="outset" w:sz="8" w:space="0" w:color="auto"/>
              <w:left w:val="nil"/>
              <w:bottom w:val="outset" w:sz="8" w:space="0" w:color="auto"/>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6 a 8 Semestre</w:t>
            </w:r>
          </w:p>
        </w:tc>
        <w:tc>
          <w:tcPr>
            <w:tcW w:w="850" w:type="dxa"/>
            <w:tcBorders>
              <w:top w:val="outset" w:sz="8" w:space="0" w:color="auto"/>
              <w:left w:val="nil"/>
              <w:bottom w:val="outset" w:sz="8" w:space="0" w:color="auto"/>
              <w:right w:val="nil"/>
            </w:tcBorders>
            <w:tcMar>
              <w:top w:w="0" w:type="dxa"/>
              <w:left w:w="108" w:type="dxa"/>
              <w:bottom w:w="0" w:type="dxa"/>
              <w:right w:w="108" w:type="dxa"/>
            </w:tcMar>
            <w:vAlign w:val="cente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X</w:t>
            </w:r>
            <w:r w:rsidRPr="009E4745">
              <w:rPr>
                <w:rFonts w:asciiTheme="minorHAnsi" w:hAnsiTheme="minorHAnsi" w:cstheme="minorHAnsi"/>
                <w:b/>
                <w:color w:val="auto"/>
                <w:shd w:val="clear" w:color="auto" w:fill="auto"/>
                <w:vertAlign w:val="superscript"/>
                <w:lang w:val="es-MX" w:eastAsia="es-ES"/>
              </w:rPr>
              <w:t>2</w:t>
            </w:r>
          </w:p>
        </w:tc>
        <w:tc>
          <w:tcPr>
            <w:tcW w:w="992" w:type="dxa"/>
            <w:tcBorders>
              <w:top w:val="outset" w:sz="8" w:space="0" w:color="auto"/>
              <w:left w:val="nil"/>
              <w:bottom w:val="outset" w:sz="8" w:space="0" w:color="auto"/>
              <w:right w:val="nil"/>
            </w:tcBorders>
            <w:tcMar>
              <w:top w:w="0" w:type="dxa"/>
              <w:left w:w="108" w:type="dxa"/>
              <w:bottom w:w="0" w:type="dxa"/>
              <w:right w:w="108" w:type="dxa"/>
            </w:tcMar>
            <w:vAlign w:val="cente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p</w:t>
            </w:r>
          </w:p>
        </w:tc>
      </w:tr>
      <w:tr w:rsidR="009E4745" w:rsidRPr="009E4745" w:rsidTr="00060B2B">
        <w:trPr>
          <w:trHeight w:val="862"/>
          <w:tblCellSpacing w:w="0" w:type="dxa"/>
          <w:jc w:val="center"/>
        </w:trPr>
        <w:tc>
          <w:tcPr>
            <w:tcW w:w="3325"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Ansiedad</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                         51 a 100%</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                             0 a 50%</w:t>
            </w:r>
          </w:p>
        </w:tc>
        <w:tc>
          <w:tcPr>
            <w:tcW w:w="1255"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 </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10</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143</w:t>
            </w:r>
          </w:p>
        </w:tc>
        <w:tc>
          <w:tcPr>
            <w:tcW w:w="1266"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 </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1</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107</w:t>
            </w:r>
          </w:p>
        </w:tc>
        <w:tc>
          <w:tcPr>
            <w:tcW w:w="850"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 </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4.93</w:t>
            </w:r>
          </w:p>
        </w:tc>
        <w:tc>
          <w:tcPr>
            <w:tcW w:w="992"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 </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0.026</w:t>
            </w:r>
          </w:p>
        </w:tc>
      </w:tr>
      <w:tr w:rsidR="009E4745" w:rsidRPr="009E4745" w:rsidTr="00060B2B">
        <w:trPr>
          <w:trHeight w:val="847"/>
          <w:tblCellSpacing w:w="0" w:type="dxa"/>
          <w:jc w:val="center"/>
        </w:trPr>
        <w:tc>
          <w:tcPr>
            <w:tcW w:w="3325"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Componente Psicológico</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                          51 a 100%</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                              0 a 50%</w:t>
            </w:r>
          </w:p>
        </w:tc>
        <w:tc>
          <w:tcPr>
            <w:tcW w:w="1255"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 </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15</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138</w:t>
            </w:r>
          </w:p>
        </w:tc>
        <w:tc>
          <w:tcPr>
            <w:tcW w:w="1266"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 </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2</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106</w:t>
            </w:r>
          </w:p>
        </w:tc>
        <w:tc>
          <w:tcPr>
            <w:tcW w:w="850"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 </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6.57</w:t>
            </w:r>
          </w:p>
        </w:tc>
        <w:tc>
          <w:tcPr>
            <w:tcW w:w="992"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 </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0.01</w:t>
            </w:r>
          </w:p>
        </w:tc>
      </w:tr>
      <w:tr w:rsidR="009E4745" w:rsidRPr="009E4745" w:rsidTr="00060B2B">
        <w:trPr>
          <w:tblCellSpacing w:w="0" w:type="dxa"/>
          <w:jc w:val="center"/>
        </w:trPr>
        <w:tc>
          <w:tcPr>
            <w:tcW w:w="3325"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Componente Somático</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 xml:space="preserve">                               0 a 50%   </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                           51 a 100%</w:t>
            </w:r>
          </w:p>
        </w:tc>
        <w:tc>
          <w:tcPr>
            <w:tcW w:w="1255"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 </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9</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144</w:t>
            </w:r>
          </w:p>
        </w:tc>
        <w:tc>
          <w:tcPr>
            <w:tcW w:w="1266"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 </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3</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105</w:t>
            </w:r>
          </w:p>
        </w:tc>
        <w:tc>
          <w:tcPr>
            <w:tcW w:w="850"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 </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1.39</w:t>
            </w:r>
          </w:p>
        </w:tc>
        <w:tc>
          <w:tcPr>
            <w:tcW w:w="992"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 </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0.24</w:t>
            </w:r>
          </w:p>
        </w:tc>
      </w:tr>
      <w:tr w:rsidR="009E4745" w:rsidRPr="009E4745" w:rsidTr="00060B2B">
        <w:trPr>
          <w:trHeight w:val="1141"/>
          <w:tblCellSpacing w:w="0" w:type="dxa"/>
          <w:jc w:val="center"/>
        </w:trPr>
        <w:tc>
          <w:tcPr>
            <w:tcW w:w="3325" w:type="dxa"/>
            <w:tcBorders>
              <w:top w:val="nil"/>
              <w:left w:val="nil"/>
              <w:bottom w:val="outset" w:sz="8" w:space="0" w:color="auto"/>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Depresión</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 xml:space="preserve">                Moderada a grave </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           Cambios intermitentes</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                        No depresión</w:t>
            </w:r>
          </w:p>
        </w:tc>
        <w:tc>
          <w:tcPr>
            <w:tcW w:w="1255" w:type="dxa"/>
            <w:tcBorders>
              <w:top w:val="nil"/>
              <w:left w:val="nil"/>
              <w:bottom w:val="outset" w:sz="8" w:space="0" w:color="auto"/>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 </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13</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26</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114</w:t>
            </w:r>
          </w:p>
        </w:tc>
        <w:tc>
          <w:tcPr>
            <w:tcW w:w="1266" w:type="dxa"/>
            <w:tcBorders>
              <w:top w:val="nil"/>
              <w:left w:val="nil"/>
              <w:bottom w:val="outset" w:sz="8" w:space="0" w:color="auto"/>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 </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1</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14</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93</w:t>
            </w:r>
          </w:p>
        </w:tc>
        <w:tc>
          <w:tcPr>
            <w:tcW w:w="850" w:type="dxa"/>
            <w:tcBorders>
              <w:top w:val="nil"/>
              <w:left w:val="nil"/>
              <w:bottom w:val="outset" w:sz="8" w:space="0" w:color="auto"/>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 </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8.51</w:t>
            </w:r>
          </w:p>
        </w:tc>
        <w:tc>
          <w:tcPr>
            <w:tcW w:w="992" w:type="dxa"/>
            <w:tcBorders>
              <w:top w:val="nil"/>
              <w:left w:val="nil"/>
              <w:bottom w:val="outset" w:sz="8" w:space="0" w:color="auto"/>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 </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0.014</w:t>
            </w:r>
          </w:p>
        </w:tc>
      </w:tr>
    </w:tbl>
    <w:p w:rsidR="009E4745" w:rsidRDefault="009E4745" w:rsidP="009E4745">
      <w:pPr>
        <w:shd w:val="clear" w:color="auto" w:fill="auto"/>
        <w:spacing w:line="360" w:lineRule="auto"/>
        <w:rPr>
          <w:rFonts w:asciiTheme="minorHAnsi" w:eastAsiaTheme="minorHAnsi" w:hAnsiTheme="minorHAnsi" w:cstheme="minorHAnsi"/>
          <w:color w:val="auto"/>
          <w:shd w:val="clear" w:color="auto" w:fill="auto"/>
          <w:lang w:val="es-ES" w:eastAsia="en-US"/>
        </w:rPr>
      </w:pPr>
    </w:p>
    <w:p w:rsidR="009E4745" w:rsidRPr="00BE6715" w:rsidRDefault="009E4745" w:rsidP="009E4745">
      <w:pPr>
        <w:shd w:val="clear" w:color="auto" w:fill="auto"/>
        <w:spacing w:line="360" w:lineRule="auto"/>
        <w:rPr>
          <w:rFonts w:eastAsiaTheme="minorHAnsi"/>
          <w:color w:val="auto"/>
          <w:shd w:val="clear" w:color="auto" w:fill="auto"/>
          <w:lang w:val="es-ES" w:eastAsia="en-US"/>
        </w:rPr>
      </w:pPr>
      <w:r w:rsidRPr="00BE6715">
        <w:rPr>
          <w:rFonts w:eastAsiaTheme="minorHAnsi"/>
          <w:color w:val="auto"/>
          <w:shd w:val="clear" w:color="auto" w:fill="auto"/>
          <w:lang w:val="es-ES" w:eastAsia="en-US"/>
        </w:rPr>
        <w:t>Existe correlación significativa (p&lt;0.001) entre ansiedad y depresión (r=0.667), entre afectación emocional con ansiedad (r=0.491) y entre afectación emocional y depresión (r=0.392) (Tabla 7)</w:t>
      </w:r>
    </w:p>
    <w:p w:rsidR="009E4745" w:rsidRDefault="009E4745" w:rsidP="009E4745">
      <w:pPr>
        <w:shd w:val="clear" w:color="auto" w:fill="auto"/>
        <w:spacing w:line="360" w:lineRule="auto"/>
        <w:rPr>
          <w:rFonts w:asciiTheme="minorHAnsi" w:eastAsiaTheme="minorHAnsi" w:hAnsiTheme="minorHAnsi" w:cstheme="minorHAnsi"/>
          <w:color w:val="auto"/>
          <w:shd w:val="clear" w:color="auto" w:fill="auto"/>
          <w:lang w:val="es-ES" w:eastAsia="en-US"/>
        </w:rPr>
      </w:pPr>
    </w:p>
    <w:p w:rsidR="009E4745" w:rsidRPr="009E4745" w:rsidRDefault="009E4745" w:rsidP="009E4745">
      <w:pPr>
        <w:shd w:val="clear" w:color="auto" w:fill="auto"/>
        <w:spacing w:line="360" w:lineRule="auto"/>
        <w:rPr>
          <w:rFonts w:asciiTheme="minorHAnsi" w:eastAsiaTheme="minorHAnsi" w:hAnsiTheme="minorHAnsi" w:cstheme="minorHAnsi"/>
          <w:color w:val="auto"/>
          <w:shd w:val="clear" w:color="auto" w:fill="auto"/>
          <w:lang w:val="es-ES" w:eastAsia="en-US"/>
        </w:rPr>
      </w:pP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color w:val="auto"/>
          <w:shd w:val="clear" w:color="auto" w:fill="auto"/>
          <w:lang w:val="es-MX" w:eastAsia="es-ES"/>
        </w:rPr>
        <w:lastRenderedPageBreak/>
        <w:t> </w:t>
      </w:r>
      <w:r w:rsidRPr="009E4745">
        <w:rPr>
          <w:rFonts w:asciiTheme="minorHAnsi" w:hAnsiTheme="minorHAnsi" w:cstheme="minorHAnsi"/>
          <w:b/>
          <w:color w:val="auto"/>
          <w:shd w:val="clear" w:color="auto" w:fill="auto"/>
          <w:lang w:val="es-ES" w:eastAsia="es-ES"/>
        </w:rPr>
        <w:t>Tabla 7. Correlación entre las variables estudiadas</w:t>
      </w:r>
    </w:p>
    <w:tbl>
      <w:tblPr>
        <w:tblW w:w="8991" w:type="dxa"/>
        <w:tblCellSpacing w:w="0" w:type="dxa"/>
        <w:tblCellMar>
          <w:left w:w="0" w:type="dxa"/>
          <w:right w:w="0" w:type="dxa"/>
        </w:tblCellMar>
        <w:tblLook w:val="04A0" w:firstRow="1" w:lastRow="0" w:firstColumn="1" w:lastColumn="0" w:noHBand="0" w:noVBand="1"/>
      </w:tblPr>
      <w:tblGrid>
        <w:gridCol w:w="3227"/>
        <w:gridCol w:w="1441"/>
        <w:gridCol w:w="1441"/>
        <w:gridCol w:w="1441"/>
        <w:gridCol w:w="1441"/>
      </w:tblGrid>
      <w:tr w:rsidR="009E4745" w:rsidRPr="009E4745" w:rsidTr="00060B2B">
        <w:trPr>
          <w:tblCellSpacing w:w="0" w:type="dxa"/>
        </w:trPr>
        <w:tc>
          <w:tcPr>
            <w:tcW w:w="3227" w:type="dxa"/>
            <w:tcBorders>
              <w:top w:val="nil"/>
              <w:left w:val="nil"/>
              <w:bottom w:val="nil"/>
              <w:right w:val="nil"/>
            </w:tcBorders>
            <w:tcMar>
              <w:top w:w="0" w:type="dxa"/>
              <w:left w:w="108" w:type="dxa"/>
              <w:bottom w:w="0" w:type="dxa"/>
              <w:right w:w="108" w:type="dxa"/>
            </w:tcMar>
            <w:vAlign w:val="cente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 </w:t>
            </w:r>
          </w:p>
        </w:tc>
        <w:tc>
          <w:tcPr>
            <w:tcW w:w="1441" w:type="dxa"/>
            <w:tcBorders>
              <w:top w:val="nil"/>
              <w:left w:val="nil"/>
              <w:bottom w:val="nil"/>
              <w:right w:val="nil"/>
            </w:tcBorders>
            <w:tcMar>
              <w:top w:w="0" w:type="dxa"/>
              <w:left w:w="108" w:type="dxa"/>
              <w:bottom w:w="0" w:type="dxa"/>
              <w:right w:w="108" w:type="dxa"/>
            </w:tcMar>
            <w:vAlign w:val="cente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Burnout Cinismo</w:t>
            </w:r>
          </w:p>
        </w:tc>
        <w:tc>
          <w:tcPr>
            <w:tcW w:w="1441" w:type="dxa"/>
            <w:tcBorders>
              <w:top w:val="nil"/>
              <w:left w:val="nil"/>
              <w:bottom w:val="nil"/>
              <w:right w:val="nil"/>
            </w:tcBorders>
            <w:tcMar>
              <w:top w:w="0" w:type="dxa"/>
              <w:left w:w="108" w:type="dxa"/>
              <w:bottom w:w="0" w:type="dxa"/>
              <w:right w:w="108" w:type="dxa"/>
            </w:tcMar>
            <w:vAlign w:val="cente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Burnout Eficiencia Académica</w:t>
            </w:r>
          </w:p>
        </w:tc>
        <w:tc>
          <w:tcPr>
            <w:tcW w:w="1441" w:type="dxa"/>
            <w:tcBorders>
              <w:top w:val="nil"/>
              <w:left w:val="nil"/>
              <w:bottom w:val="nil"/>
              <w:right w:val="nil"/>
            </w:tcBorders>
            <w:tcMar>
              <w:top w:w="0" w:type="dxa"/>
              <w:left w:w="108" w:type="dxa"/>
              <w:bottom w:w="0" w:type="dxa"/>
              <w:right w:w="108" w:type="dxa"/>
            </w:tcMar>
            <w:vAlign w:val="cente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 </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Ansiedad</w:t>
            </w:r>
          </w:p>
        </w:tc>
        <w:tc>
          <w:tcPr>
            <w:tcW w:w="1441" w:type="dxa"/>
            <w:tcBorders>
              <w:top w:val="nil"/>
              <w:left w:val="nil"/>
              <w:bottom w:val="nil"/>
              <w:right w:val="nil"/>
            </w:tcBorders>
            <w:tcMar>
              <w:top w:w="0" w:type="dxa"/>
              <w:left w:w="108" w:type="dxa"/>
              <w:bottom w:w="0" w:type="dxa"/>
              <w:right w:w="108" w:type="dxa"/>
            </w:tcMar>
            <w:vAlign w:val="cente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 </w:t>
            </w:r>
          </w:p>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Depresión</w:t>
            </w:r>
          </w:p>
        </w:tc>
      </w:tr>
      <w:tr w:rsidR="009E4745" w:rsidRPr="009E4745" w:rsidTr="00060B2B">
        <w:trPr>
          <w:trHeight w:val="390"/>
          <w:tblCellSpacing w:w="0" w:type="dxa"/>
        </w:trPr>
        <w:tc>
          <w:tcPr>
            <w:tcW w:w="3227"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Burnout Afectación Emocional</w:t>
            </w:r>
          </w:p>
        </w:tc>
        <w:tc>
          <w:tcPr>
            <w:tcW w:w="1441"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0.227</w:t>
            </w:r>
          </w:p>
        </w:tc>
        <w:tc>
          <w:tcPr>
            <w:tcW w:w="1441"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-0.293</w:t>
            </w:r>
          </w:p>
        </w:tc>
        <w:tc>
          <w:tcPr>
            <w:tcW w:w="1441"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0.491</w:t>
            </w:r>
          </w:p>
        </w:tc>
        <w:tc>
          <w:tcPr>
            <w:tcW w:w="1441"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0.392</w:t>
            </w:r>
          </w:p>
        </w:tc>
      </w:tr>
      <w:tr w:rsidR="009E4745" w:rsidRPr="009E4745" w:rsidTr="00060B2B">
        <w:trPr>
          <w:trHeight w:val="425"/>
          <w:tblCellSpacing w:w="0" w:type="dxa"/>
        </w:trPr>
        <w:tc>
          <w:tcPr>
            <w:tcW w:w="3227" w:type="dxa"/>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Burnout cinismo</w:t>
            </w:r>
          </w:p>
        </w:tc>
        <w:tc>
          <w:tcPr>
            <w:tcW w:w="1441" w:type="dxa"/>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 </w:t>
            </w:r>
          </w:p>
        </w:tc>
        <w:tc>
          <w:tcPr>
            <w:tcW w:w="1441" w:type="dxa"/>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-0.340</w:t>
            </w:r>
          </w:p>
        </w:tc>
        <w:tc>
          <w:tcPr>
            <w:tcW w:w="1441" w:type="dxa"/>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0.218</w:t>
            </w:r>
          </w:p>
        </w:tc>
        <w:tc>
          <w:tcPr>
            <w:tcW w:w="1441" w:type="dxa"/>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0.174</w:t>
            </w:r>
          </w:p>
        </w:tc>
      </w:tr>
      <w:tr w:rsidR="009E4745" w:rsidRPr="009E4745" w:rsidTr="00060B2B">
        <w:trPr>
          <w:trHeight w:val="426"/>
          <w:tblCellSpacing w:w="0" w:type="dxa"/>
        </w:trPr>
        <w:tc>
          <w:tcPr>
            <w:tcW w:w="3227" w:type="dxa"/>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Burnout Eficiencia académica</w:t>
            </w:r>
          </w:p>
        </w:tc>
        <w:tc>
          <w:tcPr>
            <w:tcW w:w="1441" w:type="dxa"/>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 </w:t>
            </w:r>
          </w:p>
        </w:tc>
        <w:tc>
          <w:tcPr>
            <w:tcW w:w="1441" w:type="dxa"/>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 </w:t>
            </w:r>
          </w:p>
        </w:tc>
        <w:tc>
          <w:tcPr>
            <w:tcW w:w="1441" w:type="dxa"/>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-0.262</w:t>
            </w:r>
          </w:p>
        </w:tc>
        <w:tc>
          <w:tcPr>
            <w:tcW w:w="1441" w:type="dxa"/>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-0.252</w:t>
            </w:r>
          </w:p>
        </w:tc>
      </w:tr>
      <w:tr w:rsidR="009E4745" w:rsidRPr="009E4745" w:rsidTr="00060B2B">
        <w:trPr>
          <w:tblCellSpacing w:w="0" w:type="dxa"/>
        </w:trPr>
        <w:tc>
          <w:tcPr>
            <w:tcW w:w="3227"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Ansiedad</w:t>
            </w:r>
          </w:p>
        </w:tc>
        <w:tc>
          <w:tcPr>
            <w:tcW w:w="1441"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 </w:t>
            </w:r>
          </w:p>
        </w:tc>
        <w:tc>
          <w:tcPr>
            <w:tcW w:w="1441"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 </w:t>
            </w:r>
          </w:p>
        </w:tc>
        <w:tc>
          <w:tcPr>
            <w:tcW w:w="1441"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 </w:t>
            </w:r>
          </w:p>
        </w:tc>
        <w:tc>
          <w:tcPr>
            <w:tcW w:w="1441" w:type="dxa"/>
            <w:tcBorders>
              <w:top w:val="nil"/>
              <w:left w:val="nil"/>
              <w:bottom w:val="nil"/>
              <w:right w:val="nil"/>
            </w:tcBorders>
            <w:tcMar>
              <w:top w:w="0" w:type="dxa"/>
              <w:left w:w="108" w:type="dxa"/>
              <w:bottom w:w="0" w:type="dxa"/>
              <w:right w:w="108" w:type="dxa"/>
            </w:tcMar>
            <w:hideMark/>
          </w:tcPr>
          <w:p w:rsidR="009E4745" w:rsidRPr="009E4745" w:rsidRDefault="009E4745" w:rsidP="009E4745">
            <w:pPr>
              <w:shd w:val="clear" w:color="auto" w:fill="auto"/>
              <w:spacing w:before="100" w:beforeAutospacing="1" w:line="360" w:lineRule="auto"/>
              <w:rPr>
                <w:rFonts w:asciiTheme="minorHAnsi" w:hAnsiTheme="minorHAnsi" w:cstheme="minorHAnsi"/>
                <w:b/>
                <w:color w:val="auto"/>
                <w:shd w:val="clear" w:color="auto" w:fill="auto"/>
                <w:lang w:val="es-ES" w:eastAsia="es-ES"/>
              </w:rPr>
            </w:pPr>
            <w:r w:rsidRPr="009E4745">
              <w:rPr>
                <w:rFonts w:asciiTheme="minorHAnsi" w:hAnsiTheme="minorHAnsi" w:cstheme="minorHAnsi"/>
                <w:b/>
                <w:color w:val="auto"/>
                <w:shd w:val="clear" w:color="auto" w:fill="auto"/>
                <w:lang w:val="es-MX" w:eastAsia="es-ES"/>
              </w:rPr>
              <w:t>0.667</w:t>
            </w:r>
          </w:p>
        </w:tc>
      </w:tr>
    </w:tbl>
    <w:p w:rsidR="009E4745" w:rsidRPr="009E4745" w:rsidRDefault="009E4745" w:rsidP="009E4745">
      <w:pPr>
        <w:shd w:val="clear" w:color="auto" w:fill="auto"/>
        <w:spacing w:before="100" w:beforeAutospacing="1" w:after="100" w:afterAutospacing="1" w:line="360" w:lineRule="auto"/>
        <w:rPr>
          <w:rFonts w:asciiTheme="minorHAnsi" w:hAnsiTheme="minorHAnsi" w:cstheme="minorHAnsi"/>
          <w:color w:val="auto"/>
          <w:shd w:val="clear" w:color="auto" w:fill="auto"/>
          <w:lang w:val="es-ES" w:eastAsia="es-ES"/>
        </w:rPr>
      </w:pPr>
      <w:r w:rsidRPr="009E4745">
        <w:rPr>
          <w:rFonts w:asciiTheme="minorHAnsi" w:hAnsiTheme="minorHAnsi" w:cstheme="minorHAnsi"/>
          <w:color w:val="auto"/>
          <w:shd w:val="clear" w:color="auto" w:fill="auto"/>
          <w:lang w:val="es-MX" w:eastAsia="es-ES"/>
        </w:rPr>
        <w:t> </w:t>
      </w:r>
    </w:p>
    <w:p w:rsidR="009E4745" w:rsidRPr="00BE6715" w:rsidRDefault="009E4745" w:rsidP="00BE6715">
      <w:pPr>
        <w:shd w:val="clear" w:color="auto" w:fill="auto"/>
        <w:spacing w:line="360" w:lineRule="auto"/>
        <w:rPr>
          <w:rFonts w:eastAsiaTheme="minorHAnsi"/>
          <w:color w:val="auto"/>
          <w:shd w:val="clear" w:color="auto" w:fill="auto"/>
          <w:lang w:val="es-ES" w:eastAsia="en-US"/>
        </w:rPr>
      </w:pPr>
      <w:r w:rsidRPr="00BE6715">
        <w:rPr>
          <w:rFonts w:eastAsiaTheme="minorHAnsi"/>
          <w:color w:val="auto"/>
          <w:shd w:val="clear" w:color="auto" w:fill="auto"/>
          <w:lang w:val="es-ES" w:eastAsia="en-US"/>
        </w:rPr>
        <w:t>DISCUSION:</w:t>
      </w:r>
    </w:p>
    <w:p w:rsidR="009E4745" w:rsidRPr="00BE6715" w:rsidRDefault="009E4745" w:rsidP="00BE6715">
      <w:pPr>
        <w:shd w:val="clear" w:color="auto" w:fill="auto"/>
        <w:spacing w:line="360" w:lineRule="auto"/>
        <w:rPr>
          <w:rFonts w:eastAsiaTheme="minorHAnsi"/>
          <w:color w:val="auto"/>
          <w:shd w:val="clear" w:color="auto" w:fill="auto"/>
          <w:lang w:val="es-ES" w:eastAsia="en-US"/>
        </w:rPr>
      </w:pPr>
      <w:r w:rsidRPr="00BE6715">
        <w:rPr>
          <w:rFonts w:eastAsiaTheme="minorHAnsi"/>
          <w:color w:val="auto"/>
          <w:shd w:val="clear" w:color="auto" w:fill="auto"/>
          <w:lang w:val="es-ES" w:eastAsia="en-US"/>
        </w:rPr>
        <w:t>La prevalencia de síndrome de burnout de 18.4% puede considerarse elevada, ya que corresponde casi a una quinta parte de los alumnos. Esta cifra es inferior a la reportada por otros autores en Colombia (Caballero et al, 2007) que reporta un 46%.Del Rio en España (2003) informa un 30% y Ordenes en Chile (2004) reporta un 31%. Un estudio de internos en la Universidad de Washington en Estados Unidos reportan hasta un 76% de frecuencia de burnout (Shanafelt et al, 2002). En Barcelona un estudio de personal sanitario reporta niveles de agotamiento emocional de 41.6%, principalmente médicos y personal de enfermería (Grau et al, 2005). En Guadalajara, México se reporta en médicos y enfermeras cifras de burnout de 44.6% (Atrance, 1997) y en la clínica Mayo hasta el 45% de los estudiantes de medicina a l final de sus estudios tenían desgaste (Dyrbye y Shanafelt, 2000). En Colombia se han registrado prevalencias hasta del 76% de los médicos (Guevara et al, 2004). Por otra parte, existen otros autores que encuentran frecuencias menores que las reportadas en nuestro estudio, así, Gil (2002) en España reporta un 17.5% de prevalencia de burnout, mientras otro estudio en Barcelona reporta cifras de 13.9% (Pera, 2002) y en un estudio en Colombia en 2007 (Borda et al, 2007) la prevalencia global del síndrome de burnout fue de 9.1%, no obstante ellos mismos refieren que el 41.8% de los estudiantes presentaron un alto grado de agotamiento emocional.</w:t>
      </w:r>
    </w:p>
    <w:p w:rsidR="009E4745" w:rsidRPr="00BE6715" w:rsidRDefault="009E4745" w:rsidP="00BE6715">
      <w:pPr>
        <w:shd w:val="clear" w:color="auto" w:fill="auto"/>
        <w:spacing w:line="360" w:lineRule="auto"/>
        <w:rPr>
          <w:rFonts w:eastAsiaTheme="minorHAnsi"/>
          <w:color w:val="auto"/>
          <w:shd w:val="clear" w:color="auto" w:fill="auto"/>
          <w:lang w:val="es-ES" w:eastAsia="en-US"/>
        </w:rPr>
      </w:pPr>
    </w:p>
    <w:p w:rsidR="009E4745" w:rsidRPr="00BE6715" w:rsidRDefault="009E4745" w:rsidP="00BE6715">
      <w:pPr>
        <w:shd w:val="clear" w:color="auto" w:fill="auto"/>
        <w:spacing w:line="360" w:lineRule="auto"/>
        <w:rPr>
          <w:rFonts w:eastAsiaTheme="minorHAnsi"/>
          <w:color w:val="auto"/>
          <w:shd w:val="clear" w:color="auto" w:fill="auto"/>
          <w:lang w:val="es-ES" w:eastAsia="en-US"/>
        </w:rPr>
      </w:pPr>
      <w:r w:rsidRPr="00BE6715">
        <w:rPr>
          <w:rFonts w:eastAsiaTheme="minorHAnsi"/>
          <w:color w:val="auto"/>
          <w:shd w:val="clear" w:color="auto" w:fill="auto"/>
          <w:lang w:val="es-ES" w:eastAsia="en-US"/>
        </w:rPr>
        <w:t>La gran variabilidad en las cifras reportadas de burnout puede estar explicada por varias situaciones: En primer lugar, por la influencia de tres grupos de variables. a)Variables institucionales entre las que destacaremos si el sujeto solamente estudia o si estudia y trabaja, el grado de estudios, si es de licenciatura, de posgrado, pasante o interno, el tipo de carrera y el tipo de institución educativa, pública o privada, el turno escolar, así como las diferencias en contexto de países, e incluso las diferencias entre ciudades dentro de un mismo país, b) Variables familiares y de apoyo social, que pueden influir en la manera de afrontar los diversos estresores académicos, o incluso contribuir a agregar otras situaciones de estrés, entre las que encontraremos si la familia es nuclear o dispersa, su nivel de integración y el papel de responsabilidad en la manutención y cuidados que se juega dentro de la familia y c) Variables Personales, entre las que se encuentran su caracteriología anímica entre las que destacan los niveles de ansiedad y depresión, edad, sexo, si está casado o no, presencia de hijos etc. Existe una gran variabilidad también en los reportes de cuales variables influyen y sobre cual dimensión específica del burnout (Martínez, 2005; Feldman et al, 2008; Caballero et al, 2007; Borda et al, 2007; Carlotto et al, 2005; Paredes et al 2008; Arango et al, 2010). En segundo término, la manera de interpretar la presencia de burnout, sea bajo el enfoque unidimensional de la afectación emocional, o bajo el criterio original tridimensional, y en tercer lugar, el tipo de inventario utilizado, ya que algunos autores  utilizan el inventario de Maslach general y otros utilizan la adecuación efectuada para estudiantes, lo cual puede modificar la estimación de la prevalencia (Martínez et al, 2005)).</w:t>
      </w:r>
    </w:p>
    <w:p w:rsidR="009E4745" w:rsidRPr="00BE6715" w:rsidRDefault="009E4745" w:rsidP="00BE6715">
      <w:pPr>
        <w:shd w:val="clear" w:color="auto" w:fill="auto"/>
        <w:spacing w:line="360" w:lineRule="auto"/>
        <w:rPr>
          <w:rFonts w:eastAsiaTheme="minorHAnsi"/>
          <w:color w:val="auto"/>
          <w:shd w:val="clear" w:color="auto" w:fill="auto"/>
          <w:lang w:val="es-ES" w:eastAsia="en-US"/>
        </w:rPr>
      </w:pPr>
    </w:p>
    <w:p w:rsidR="009E4745" w:rsidRPr="00BE6715" w:rsidRDefault="009E4745" w:rsidP="00BE6715">
      <w:pPr>
        <w:shd w:val="clear" w:color="auto" w:fill="auto"/>
        <w:spacing w:line="360" w:lineRule="auto"/>
        <w:rPr>
          <w:rFonts w:eastAsiaTheme="minorHAnsi"/>
          <w:color w:val="auto"/>
          <w:shd w:val="clear" w:color="auto" w:fill="auto"/>
          <w:lang w:val="es-ES" w:eastAsia="en-US"/>
        </w:rPr>
      </w:pPr>
      <w:r w:rsidRPr="00BE6715">
        <w:rPr>
          <w:rFonts w:eastAsiaTheme="minorHAnsi"/>
          <w:color w:val="auto"/>
          <w:shd w:val="clear" w:color="auto" w:fill="auto"/>
          <w:lang w:val="es-ES" w:eastAsia="en-US"/>
        </w:rPr>
        <w:t xml:space="preserve">En nuestro estudio, se utilizó el MBI-SS (Maslash Burnout Inventory Student Survey) con el enfoque tridimensional. La dimensión más afectada fue el agotamiento emocional (15.3%) y la dimensión con menor afectación fue el cinismo (1.9%), similar a lo que encuentra Dueñas y col en Perú (2003).Esto pudiera apoyar la interpretación de Barraza(2008) que sostiene que la dimensión que más predice el estrés académico es el agotamiento emocional y que sustenta el enfoque unidimiensional previamente mencionado, sin embargo, otros autores como Caballero y col (2007) reportan una </w:t>
      </w:r>
      <w:r w:rsidRPr="00BE6715">
        <w:rPr>
          <w:rFonts w:eastAsiaTheme="minorHAnsi"/>
          <w:color w:val="auto"/>
          <w:shd w:val="clear" w:color="auto" w:fill="auto"/>
          <w:lang w:val="es-ES" w:eastAsia="en-US"/>
        </w:rPr>
        <w:lastRenderedPageBreak/>
        <w:t>frecuencia de ineficiencia académica de 48.6%, Agotamiento emocional de 38.2% y cinismo en un 29.7% y Preciado Serrano (2010), quien en estudiantes de odontología en una Universidad pública de México reporta una mayor frecuencia de insatisfacción personal (50%), seguida por despersonalización (cinismo) (37%) y la dimensión con menor afectación fue el agotamiento emocional (27%), aunque cabe hacer notar que estos últimos utilizaron el MBI-GS (Maslash Burnout Inventory General-Survey).</w:t>
      </w:r>
    </w:p>
    <w:p w:rsidR="009E4745" w:rsidRPr="00BE6715" w:rsidRDefault="009E4745" w:rsidP="00BE6715">
      <w:pPr>
        <w:shd w:val="clear" w:color="auto" w:fill="auto"/>
        <w:spacing w:line="360" w:lineRule="auto"/>
        <w:rPr>
          <w:rFonts w:eastAsiaTheme="minorHAnsi"/>
          <w:color w:val="auto"/>
          <w:shd w:val="clear" w:color="auto" w:fill="auto"/>
          <w:lang w:val="es-ES" w:eastAsia="en-US"/>
        </w:rPr>
      </w:pPr>
    </w:p>
    <w:p w:rsidR="009E4745" w:rsidRPr="00BE6715" w:rsidRDefault="009E4745" w:rsidP="00BE6715">
      <w:pPr>
        <w:shd w:val="clear" w:color="auto" w:fill="auto"/>
        <w:spacing w:line="360" w:lineRule="auto"/>
        <w:rPr>
          <w:rFonts w:eastAsiaTheme="minorHAnsi"/>
          <w:color w:val="auto"/>
          <w:shd w:val="clear" w:color="auto" w:fill="auto"/>
          <w:lang w:val="es-ES" w:eastAsia="en-US"/>
        </w:rPr>
      </w:pPr>
      <w:r w:rsidRPr="00BE6715">
        <w:rPr>
          <w:rFonts w:eastAsiaTheme="minorHAnsi"/>
          <w:color w:val="auto"/>
          <w:shd w:val="clear" w:color="auto" w:fill="auto"/>
          <w:lang w:val="es-ES" w:eastAsia="en-US"/>
        </w:rPr>
        <w:t>La prevalencia de depresión moderada a severa fue de 5.4% y si consideramos los casos de depresión leve o intermitente, se incrementa a un 20.7% que es una cifra similar a lo reportado por la Organización Mundial de la Salud (15 a 25%), y mayor que la reportada por la Encuesta Nacional de Epidemiología Psiquiátrica en México que reporta que  entre el 9 y 13 % de la población adulta padecen depresión con una prevalencia de dos mujeres por cada varón (Medina et al 2003). Nuestros resultados son similares a lo reportado por algunos autores como Olmedo(2006) en Colima detecta en una muestra de 133 estudiantes de enfermería una frecuencia de 2.25% de depresión moderada a severa y un 18.8% de depresión leve, más frecuente en mujeres que en hombres.Otros autores reportan una frecuencia mayor, como Miranda (20 00) en Colombia que en estudiantes de Medicina reporta 21.9% de depresión leve y 10.6% Moderada y 3.5% severa. También en Colombia, Díaz (2012) reporta depresión leve en el 56.9%, de los estudiantes de la Universidad Nacional de Colombia, moderada del 25.9% y grave en el 3.6% de los casos, según la Escala Autoaplicada de Zung. Valencia (2010) en España reporta también en estudiantes de Enfermería que solamente el 14,2% de los encuestados no presentaron síntomas relacionados con depresión,  un número reducido de estudiantes presentó depresión severa (2,2%) y el mayor porcentaje de los encuestados evidenciaron síntomas de depresión leve y moderada. En Perú, Pereyra Elias(2010) reporta una frecuencia de depresión en estudiantes de Medicina de 33.1%.</w:t>
      </w:r>
    </w:p>
    <w:p w:rsidR="009E4745" w:rsidRPr="00BE6715" w:rsidRDefault="009E4745" w:rsidP="00BE6715">
      <w:pPr>
        <w:shd w:val="clear" w:color="auto" w:fill="auto"/>
        <w:spacing w:line="360" w:lineRule="auto"/>
        <w:rPr>
          <w:rFonts w:eastAsiaTheme="minorHAnsi"/>
          <w:color w:val="auto"/>
          <w:shd w:val="clear" w:color="auto" w:fill="auto"/>
          <w:lang w:val="es-ES" w:eastAsia="en-US"/>
        </w:rPr>
      </w:pPr>
    </w:p>
    <w:p w:rsidR="009E4745" w:rsidRPr="00BE6715" w:rsidRDefault="009E4745" w:rsidP="00BE6715">
      <w:pPr>
        <w:shd w:val="clear" w:color="auto" w:fill="auto"/>
        <w:spacing w:line="360" w:lineRule="auto"/>
        <w:rPr>
          <w:rFonts w:eastAsiaTheme="minorHAnsi"/>
          <w:color w:val="auto"/>
          <w:shd w:val="clear" w:color="auto" w:fill="auto"/>
          <w:lang w:val="es-ES" w:eastAsia="en-US"/>
        </w:rPr>
      </w:pPr>
      <w:r w:rsidRPr="00BE6715">
        <w:rPr>
          <w:rFonts w:eastAsiaTheme="minorHAnsi"/>
          <w:color w:val="auto"/>
          <w:shd w:val="clear" w:color="auto" w:fill="auto"/>
          <w:lang w:val="es-ES" w:eastAsia="en-US"/>
        </w:rPr>
        <w:t xml:space="preserve">Referente a la ansiedad, el 56% presentan algún grado de ansiedad, siendo más frecuente el nivel leve (32.6%), aunque la frecuencia del nivel moderado a severo es importante (23.4%). Estas cifras son similares a las reportadas por Balanza Galindo (2009) en España, </w:t>
      </w:r>
      <w:r w:rsidRPr="00BE6715">
        <w:rPr>
          <w:rFonts w:eastAsiaTheme="minorHAnsi"/>
          <w:color w:val="auto"/>
          <w:shd w:val="clear" w:color="auto" w:fill="auto"/>
          <w:lang w:val="es-ES" w:eastAsia="en-US"/>
        </w:rPr>
        <w:lastRenderedPageBreak/>
        <w:t>quien reporta una prevalencia de ansiedad del 47.1%, al igual que Aguirre Hernández y col (2011) quien reporta 59.1% de prevalencia de ansiedad, y en ambos casos con frecuencia asociada a depresión y principalmente en las mujeres. Lugo reporta en Venezuela una frecuencia discretamente menor de ansiedad en estudiantes de Medicina (Lugo et al, 2004). Encontramos una asociación importante entre la ansiedad y la depresión y tener burnout como se muestra en la tabla 4. Esta situación es comúnmente reportada en otros estudios, como lo informa Santesy co l (2009) en estudiantes de Enfermería de una Universidad de Chile y Arango y col (2010) en Colombia. Es importante tener en cuenta Tanto la elevada prevalencia de ansiedad y depresión, como su asociación con burnout, ya que ambas alteraciones del estado anímico, si bien es cierto son multifactoriales, son suceptibles de manejo, control y son reversibles, por lo que es una ventana de oportunidad para acciones tutoriales de apoyo y estrategias educativas y humanísticas tendientes a disminuir los niveles de ansiedad y depresión y con ello su impacto en la eficiencia académica.</w:t>
      </w:r>
    </w:p>
    <w:p w:rsidR="009E4745" w:rsidRPr="00BE6715" w:rsidRDefault="009E4745" w:rsidP="00BE6715">
      <w:pPr>
        <w:shd w:val="clear" w:color="auto" w:fill="auto"/>
        <w:spacing w:line="360" w:lineRule="auto"/>
        <w:rPr>
          <w:rFonts w:eastAsiaTheme="minorHAnsi"/>
          <w:color w:val="auto"/>
          <w:shd w:val="clear" w:color="auto" w:fill="auto"/>
          <w:lang w:val="es-ES" w:eastAsia="en-US"/>
        </w:rPr>
      </w:pPr>
    </w:p>
    <w:p w:rsidR="009E4745" w:rsidRPr="00BE6715" w:rsidRDefault="009E4745" w:rsidP="00BE6715">
      <w:pPr>
        <w:shd w:val="clear" w:color="auto" w:fill="auto"/>
        <w:spacing w:line="360" w:lineRule="auto"/>
        <w:rPr>
          <w:rFonts w:eastAsiaTheme="minorHAnsi"/>
          <w:color w:val="auto"/>
          <w:shd w:val="clear" w:color="auto" w:fill="auto"/>
          <w:lang w:val="es-ES" w:eastAsia="en-US"/>
        </w:rPr>
      </w:pPr>
      <w:r w:rsidRPr="00BE6715">
        <w:rPr>
          <w:rFonts w:eastAsiaTheme="minorHAnsi"/>
          <w:color w:val="auto"/>
          <w:shd w:val="clear" w:color="auto" w:fill="auto"/>
          <w:lang w:val="es-ES" w:eastAsia="en-US"/>
        </w:rPr>
        <w:t xml:space="preserve">Se encontró que la frecuencia de depresión y de ansiedad, principalmente el componente psicológico eran mayores en los primeros semestres, al igual que la dimensión agotamiento emocional del burnout (tabla 5 y 6). Esto también ha sido reportado por algunos investigadores como Santander y col (2011) en Chile, y Celis (2001), y Olmedo (2006) en México,y pudiera ser explicado por que los alumnos de los primeros semestres están sometidos a la presión generada por el cambio de sistema de preparatoria a Universidad, y por que en estos niveles se manejan generalmente los conceptos teóricos y son los que llevan la carga de materias a las que no se les encuentra claramente su aplicación. Es en estos primeros años donde se requiere reforzar la acciones de apoyo tutorial y donde pudieran tener su mejor efecto.  </w:t>
      </w:r>
    </w:p>
    <w:p w:rsidR="009E4745" w:rsidRPr="00BE6715" w:rsidRDefault="009E4745" w:rsidP="00BE6715">
      <w:pPr>
        <w:shd w:val="clear" w:color="auto" w:fill="auto"/>
        <w:spacing w:line="360" w:lineRule="auto"/>
        <w:rPr>
          <w:rFonts w:eastAsiaTheme="minorHAnsi"/>
          <w:color w:val="auto"/>
          <w:shd w:val="clear" w:color="auto" w:fill="auto"/>
          <w:lang w:val="es-ES" w:eastAsia="en-US"/>
        </w:rPr>
      </w:pPr>
    </w:p>
    <w:p w:rsidR="009E4745" w:rsidRPr="00BE6715" w:rsidRDefault="009E4745" w:rsidP="00BE6715">
      <w:pPr>
        <w:shd w:val="clear" w:color="auto" w:fill="auto"/>
        <w:spacing w:line="360" w:lineRule="auto"/>
        <w:rPr>
          <w:rFonts w:eastAsiaTheme="minorHAnsi"/>
          <w:color w:val="7030A0"/>
          <w:shd w:val="clear" w:color="auto" w:fill="auto"/>
          <w:lang w:val="es-ES" w:eastAsia="en-US"/>
        </w:rPr>
      </w:pPr>
      <w:r w:rsidRPr="00BE6715">
        <w:rPr>
          <w:rFonts w:eastAsiaTheme="minorHAnsi"/>
          <w:color w:val="7030A0"/>
          <w:shd w:val="clear" w:color="auto" w:fill="auto"/>
          <w:lang w:val="es-ES" w:eastAsia="en-US"/>
        </w:rPr>
        <w:t>Conclusión</w:t>
      </w:r>
    </w:p>
    <w:p w:rsidR="009E4745" w:rsidRPr="00BE6715" w:rsidRDefault="009E4745" w:rsidP="00BE6715">
      <w:pPr>
        <w:shd w:val="clear" w:color="auto" w:fill="auto"/>
        <w:spacing w:line="360" w:lineRule="auto"/>
        <w:rPr>
          <w:rFonts w:eastAsiaTheme="minorHAnsi"/>
          <w:color w:val="auto"/>
          <w:shd w:val="clear" w:color="auto" w:fill="auto"/>
          <w:lang w:val="es-ES" w:eastAsia="en-US"/>
        </w:rPr>
      </w:pPr>
      <w:r w:rsidRPr="00BE6715">
        <w:rPr>
          <w:rFonts w:eastAsiaTheme="minorHAnsi"/>
          <w:color w:val="auto"/>
          <w:shd w:val="clear" w:color="auto" w:fill="auto"/>
          <w:lang w:val="es-ES" w:eastAsia="en-US"/>
        </w:rPr>
        <w:tab/>
      </w:r>
    </w:p>
    <w:p w:rsidR="009E4745" w:rsidRPr="009E4745" w:rsidRDefault="009E4745" w:rsidP="00BE6715">
      <w:pPr>
        <w:shd w:val="clear" w:color="auto" w:fill="auto"/>
        <w:spacing w:line="360" w:lineRule="auto"/>
        <w:rPr>
          <w:rFonts w:asciiTheme="minorHAnsi" w:eastAsiaTheme="minorHAnsi" w:hAnsiTheme="minorHAnsi" w:cstheme="minorHAnsi"/>
          <w:color w:val="auto"/>
          <w:shd w:val="clear" w:color="auto" w:fill="auto"/>
          <w:lang w:val="es-ES" w:eastAsia="en-US"/>
        </w:rPr>
      </w:pPr>
      <w:r w:rsidRPr="00BE6715">
        <w:rPr>
          <w:rFonts w:eastAsiaTheme="minorHAnsi"/>
          <w:color w:val="auto"/>
          <w:shd w:val="clear" w:color="auto" w:fill="auto"/>
          <w:lang w:val="es-ES" w:eastAsia="en-US"/>
        </w:rPr>
        <w:t xml:space="preserve">La prevalencia del burnout, la ansiedad y la depresión es elevada y se encuentran asociadas. Consideramos que la importancia de estos resultados es resaltar la verdadera magnitud del problema, tanto de los niveles de ansiedad y depresión, como de su impacto en el </w:t>
      </w:r>
      <w:r w:rsidRPr="00BE6715">
        <w:rPr>
          <w:rFonts w:eastAsiaTheme="minorHAnsi"/>
          <w:color w:val="auto"/>
          <w:shd w:val="clear" w:color="auto" w:fill="auto"/>
          <w:lang w:val="es-ES" w:eastAsia="en-US"/>
        </w:rPr>
        <w:lastRenderedPageBreak/>
        <w:t>agotamiento emocional que las exigencias y necesidades para el logro de objetivos académicos produce en los alumnos, principalmente en los de los primeros semestres. Esto nos lleva de la mano también al establecimiento de estrategias educativas y de apoyo que busquen reducir los niveles de ansiedad, depresión y burnout en busca de un mejor rendimiento académico. Entre estas estrategias, una importante de tener en consideración es el apoyo tutorial, para favorecer el desarrollo del vigor (en oposición al agotamiento), de la dedicación (en oposición al cinismo) y la absorción (en oposición a la ineficiencia académica), conceptos que se han englobado bajo el término de “engagement” (González Cano et al 2010)</w:t>
      </w:r>
    </w:p>
    <w:p w:rsidR="009E4745" w:rsidRPr="009E4745" w:rsidRDefault="009E4745" w:rsidP="009E4745">
      <w:pPr>
        <w:shd w:val="clear" w:color="auto" w:fill="auto"/>
        <w:spacing w:line="360" w:lineRule="auto"/>
        <w:rPr>
          <w:rFonts w:asciiTheme="minorHAnsi" w:eastAsiaTheme="minorHAnsi" w:hAnsiTheme="minorHAnsi" w:cstheme="minorHAnsi"/>
          <w:color w:val="auto"/>
          <w:shd w:val="clear" w:color="auto" w:fill="auto"/>
          <w:lang w:val="es-ES" w:eastAsia="en-US"/>
        </w:rPr>
      </w:pPr>
      <w:r w:rsidRPr="009E4745">
        <w:rPr>
          <w:rFonts w:asciiTheme="minorHAnsi" w:eastAsiaTheme="minorHAnsi" w:hAnsiTheme="minorHAnsi" w:cstheme="minorHAnsi"/>
          <w:color w:val="auto"/>
          <w:shd w:val="clear" w:color="auto" w:fill="auto"/>
          <w:lang w:val="es-ES" w:eastAsia="en-US"/>
        </w:rPr>
        <w:tab/>
      </w:r>
    </w:p>
    <w:p w:rsidR="009E4745" w:rsidRPr="009E4745" w:rsidRDefault="009E4745" w:rsidP="009E4745">
      <w:pPr>
        <w:shd w:val="clear" w:color="auto" w:fill="auto"/>
        <w:spacing w:line="360" w:lineRule="auto"/>
        <w:rPr>
          <w:rFonts w:asciiTheme="minorHAnsi" w:eastAsiaTheme="minorHAnsi" w:hAnsiTheme="minorHAnsi" w:cstheme="minorHAnsi"/>
          <w:color w:val="7030A0"/>
          <w:sz w:val="28"/>
          <w:shd w:val="clear" w:color="auto" w:fill="auto"/>
          <w:lang w:val="es-ES" w:eastAsia="en-US"/>
        </w:rPr>
      </w:pPr>
      <w:r w:rsidRPr="009E4745">
        <w:rPr>
          <w:rFonts w:asciiTheme="minorHAnsi" w:eastAsiaTheme="minorHAnsi" w:hAnsiTheme="minorHAnsi" w:cstheme="minorHAnsi"/>
          <w:color w:val="7030A0"/>
          <w:sz w:val="28"/>
          <w:shd w:val="clear" w:color="auto" w:fill="auto"/>
          <w:lang w:val="es-ES" w:eastAsia="en-US"/>
        </w:rPr>
        <w:t>Bibliografía</w:t>
      </w:r>
    </w:p>
    <w:p w:rsidR="009E4745" w:rsidRPr="009E4745" w:rsidRDefault="009E4745" w:rsidP="009E4745">
      <w:pPr>
        <w:shd w:val="clear" w:color="auto" w:fill="auto"/>
        <w:spacing w:line="360" w:lineRule="auto"/>
        <w:rPr>
          <w:rFonts w:asciiTheme="minorHAnsi" w:eastAsiaTheme="minorHAnsi" w:hAnsiTheme="minorHAnsi" w:cstheme="minorHAnsi"/>
          <w:color w:val="auto"/>
          <w:shd w:val="clear" w:color="auto" w:fill="auto"/>
          <w:lang w:val="es-ES" w:eastAsia="en-US"/>
        </w:rPr>
      </w:pP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r w:rsidRPr="00BE6715">
        <w:rPr>
          <w:rFonts w:eastAsiaTheme="minorHAnsi"/>
          <w:color w:val="auto"/>
          <w:shd w:val="clear" w:color="auto" w:fill="auto"/>
          <w:lang w:val="es-ES" w:eastAsia="en-US"/>
        </w:rPr>
        <w:t>Aguirre Hernández R, López Flores JF, Flores Flores RC. (2011). Prevalencia de la ansiedad y depresión de médicos residentes de especialidades médicas. Revista Fuente. 3(8),</w:t>
      </w: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r w:rsidRPr="00BE6715">
        <w:rPr>
          <w:rFonts w:eastAsiaTheme="minorHAnsi"/>
          <w:color w:val="auto"/>
          <w:shd w:val="clear" w:color="auto" w:fill="auto"/>
          <w:lang w:val="es-ES" w:eastAsia="en-US"/>
        </w:rPr>
        <w:t xml:space="preserve"> Appels A. (2006), Estrés laboral, agotamiento y enfermedad, en Estrés laboral y salud de José Buendía (Ed). Madrid: Biblioteca Nueva</w:t>
      </w: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r w:rsidRPr="00BE6715">
        <w:rPr>
          <w:rFonts w:eastAsiaTheme="minorHAnsi"/>
          <w:color w:val="auto"/>
          <w:shd w:val="clear" w:color="auto" w:fill="auto"/>
          <w:lang w:val="es-ES" w:eastAsia="en-US"/>
        </w:rPr>
        <w:t>Aranda C, Pando M, Velásquez I, Acosta M,  Pérez M. (2003). Síndrome de Burnout y factores psicosociales, en estudiantes de posgrado  del Departamento de Salud Pública de la Universidad de Guadalajara, México. Revista Psiquiatría Facultad de Medicina Barna. 30 (4), 193-199</w:t>
      </w: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p>
    <w:p w:rsidR="009E4745" w:rsidRPr="00BE6715" w:rsidRDefault="009E4745" w:rsidP="00BE6715">
      <w:pPr>
        <w:shd w:val="clear" w:color="auto" w:fill="auto"/>
        <w:spacing w:line="360" w:lineRule="auto"/>
        <w:ind w:left="709" w:hanging="709"/>
        <w:rPr>
          <w:rFonts w:eastAsiaTheme="minorHAnsi"/>
          <w:color w:val="auto"/>
          <w:shd w:val="clear" w:color="auto" w:fill="auto"/>
          <w:lang w:val="en-US" w:eastAsia="en-US"/>
        </w:rPr>
      </w:pPr>
      <w:r w:rsidRPr="00BE6715">
        <w:rPr>
          <w:rFonts w:eastAsiaTheme="minorHAnsi"/>
          <w:color w:val="auto"/>
          <w:shd w:val="clear" w:color="auto" w:fill="auto"/>
          <w:lang w:val="es-ES" w:eastAsia="en-US"/>
        </w:rPr>
        <w:t xml:space="preserve">Arango Agudelo S, Castaño Castrillon JJ, Henao Restrepo CJ, Jiménez Aguilar DP, López Henao AF, Páez Cala ML. (2010). Síndrome de Burnout y factores asociados en Estudiantes de 1 a 9 semestre de la facultad de medicina de la Universidad de Manizales (Colombia), 2009.  </w:t>
      </w:r>
      <w:r w:rsidRPr="00BE6715">
        <w:rPr>
          <w:rFonts w:eastAsiaTheme="minorHAnsi"/>
          <w:color w:val="auto"/>
          <w:shd w:val="clear" w:color="auto" w:fill="auto"/>
          <w:lang w:val="en-US" w:eastAsia="en-US"/>
        </w:rPr>
        <w:t>Archivos de Medicina. 10(2),110-126</w:t>
      </w:r>
    </w:p>
    <w:p w:rsidR="009E4745" w:rsidRPr="00BE6715" w:rsidRDefault="009E4745" w:rsidP="00BE6715">
      <w:pPr>
        <w:shd w:val="clear" w:color="auto" w:fill="auto"/>
        <w:spacing w:line="360" w:lineRule="auto"/>
        <w:ind w:left="709" w:hanging="709"/>
        <w:rPr>
          <w:rFonts w:eastAsiaTheme="minorHAnsi"/>
          <w:color w:val="auto"/>
          <w:shd w:val="clear" w:color="auto" w:fill="auto"/>
          <w:lang w:val="en-US" w:eastAsia="en-US"/>
        </w:rPr>
      </w:pP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r w:rsidRPr="00BE6715">
        <w:rPr>
          <w:rFonts w:eastAsiaTheme="minorHAnsi"/>
          <w:color w:val="auto"/>
          <w:shd w:val="clear" w:color="auto" w:fill="auto"/>
          <w:lang w:val="en-US" w:eastAsia="en-US"/>
        </w:rPr>
        <w:lastRenderedPageBreak/>
        <w:t xml:space="preserve">Atrance J. (1997). Epidemiological aspects of theBurnout syndrome in health workers. </w:t>
      </w:r>
      <w:r w:rsidRPr="00BE6715">
        <w:rPr>
          <w:rFonts w:eastAsiaTheme="minorHAnsi"/>
          <w:color w:val="auto"/>
          <w:shd w:val="clear" w:color="auto" w:fill="auto"/>
          <w:lang w:val="es-ES" w:eastAsia="en-US"/>
        </w:rPr>
        <w:t>Rev. Esp. Salud Pública. 71(3),  293 -303.</w:t>
      </w: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r w:rsidRPr="00BE6715">
        <w:rPr>
          <w:rFonts w:eastAsiaTheme="minorHAnsi"/>
          <w:color w:val="auto"/>
          <w:shd w:val="clear" w:color="auto" w:fill="auto"/>
          <w:lang w:val="es-ES" w:eastAsia="en-US"/>
        </w:rPr>
        <w:t>Balanza-Galindo S, Morales-Moreno I, Guerrero-Muñoz J. (2009). Prevalencia de Ansiedad y Depresión en una Población de Estudiantes Universitarios: Factores Académicos y Socio familiares Asociados. Clínica y Salud. 20(2),</w:t>
      </w: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r w:rsidRPr="00BE6715">
        <w:rPr>
          <w:rFonts w:eastAsiaTheme="minorHAnsi"/>
          <w:color w:val="auto"/>
          <w:shd w:val="clear" w:color="auto" w:fill="auto"/>
          <w:lang w:val="es-ES" w:eastAsia="en-US"/>
        </w:rPr>
        <w:t>Barraza Macías A. (2008). Burnout estudiantil: un enfoque unidimensional. Revista psicología científica.com 10(38). Disponible en http://www.psicologiacientifica.com/burnout-estudiantil</w:t>
      </w: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r w:rsidRPr="00BE6715">
        <w:rPr>
          <w:rFonts w:eastAsiaTheme="minorHAnsi"/>
          <w:color w:val="auto"/>
          <w:shd w:val="clear" w:color="auto" w:fill="auto"/>
          <w:lang w:val="es-ES" w:eastAsia="en-US"/>
        </w:rPr>
        <w:t>Beltrán MC, Freyre MA. (2012). El inventario de depresión de Beck: Su validez en población adolescente. Terapia psicológica.30(3),5-13</w:t>
      </w: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r w:rsidRPr="00BE6715">
        <w:rPr>
          <w:rFonts w:eastAsiaTheme="minorHAnsi"/>
          <w:color w:val="auto"/>
          <w:shd w:val="clear" w:color="auto" w:fill="auto"/>
          <w:lang w:val="es-ES" w:eastAsia="en-US"/>
        </w:rPr>
        <w:t>Borda M, Navarro E, Aun E, Berdejo H, Racedo K, Ruíz J. (2007) Síndrome de Burnout en estudiantes de internado del Hospital Universidad del Norte, Revista Salud Uninorte. 23 (1), 43-51</w:t>
      </w: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r w:rsidRPr="00BE6715">
        <w:rPr>
          <w:rFonts w:eastAsiaTheme="minorHAnsi"/>
          <w:color w:val="auto"/>
          <w:shd w:val="clear" w:color="auto" w:fill="auto"/>
          <w:lang w:val="es-ES" w:eastAsia="en-US"/>
        </w:rPr>
        <w:t>Caballero CC, Abello LL R, Palacios J. (2007) Relación del burnout y el rendimiento académico con la satisfacción frente a los estudios en estudiantes universitarios. Avances es Psicología Latinoamericana. 25(2), 98-111</w:t>
      </w: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r w:rsidRPr="00BE6715">
        <w:rPr>
          <w:rFonts w:eastAsiaTheme="minorHAnsi"/>
          <w:color w:val="auto"/>
          <w:shd w:val="clear" w:color="auto" w:fill="auto"/>
          <w:lang w:val="es-ES" w:eastAsia="en-US"/>
        </w:rPr>
        <w:t>Caldera Montes JF, Pulido Castro BE. (2007). Niveles de estrés y rendimiento académico en estudiantes de la carrera de psicología del Centro Universitario de los Altos. Revista de Educación y Desarrollo. 7, 77-82</w:t>
      </w: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r w:rsidRPr="00BE6715">
        <w:rPr>
          <w:rFonts w:eastAsiaTheme="minorHAnsi"/>
          <w:color w:val="auto"/>
          <w:shd w:val="clear" w:color="auto" w:fill="auto"/>
          <w:lang w:val="es-ES" w:eastAsia="en-US"/>
        </w:rPr>
        <w:t>Cano G. Martín A. Burnout en estudiantes universitarios, disponible en MONOGRAFÍAS.COM 2005 (recuperado en diciembre de 2007)</w:t>
      </w: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r w:rsidRPr="00BE6715">
        <w:rPr>
          <w:rFonts w:eastAsiaTheme="minorHAnsi"/>
          <w:color w:val="auto"/>
          <w:shd w:val="clear" w:color="auto" w:fill="auto"/>
          <w:lang w:val="en-US" w:eastAsia="en-US"/>
        </w:rPr>
        <w:lastRenderedPageBreak/>
        <w:t xml:space="preserve">Carlotto M, Gonçalvez S, Borges A. (2005). </w:t>
      </w:r>
      <w:r w:rsidRPr="00BE6715">
        <w:rPr>
          <w:rFonts w:eastAsiaTheme="minorHAnsi"/>
          <w:color w:val="auto"/>
          <w:shd w:val="clear" w:color="auto" w:fill="auto"/>
          <w:lang w:val="es-ES" w:eastAsia="en-US"/>
        </w:rPr>
        <w:t>Predictores del síndrome de burnout en estudiantes de un curso técnico de enfermería. Diversitas. 1(2),195-204</w:t>
      </w: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r w:rsidRPr="00BE6715">
        <w:rPr>
          <w:rFonts w:eastAsiaTheme="minorHAnsi"/>
          <w:color w:val="auto"/>
          <w:shd w:val="clear" w:color="auto" w:fill="auto"/>
          <w:lang w:val="es-ES" w:eastAsia="en-US"/>
        </w:rPr>
        <w:t>Celis J, Bustamante M, Cabrera L, Cabrera M, Alarcon W, Mongue E. (2006) Ansiedad y estrés académico en estudiantes de Medicina Humana de primero y sexto año. Anales de la Facultad de Medicina.  62(1), 25-30</w:t>
      </w: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r w:rsidRPr="00BE6715">
        <w:rPr>
          <w:rFonts w:eastAsiaTheme="minorHAnsi"/>
          <w:color w:val="auto"/>
          <w:shd w:val="clear" w:color="auto" w:fill="auto"/>
          <w:lang w:val="es-ES" w:eastAsia="en-US"/>
        </w:rPr>
        <w:t>Del Río M. (2003). El síndrome de Burnout en los enfermeros/as del hospital Virgen de la Salud de Toledo. Enfermería en Cardiología. 28, 24 – 29.</w:t>
      </w: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r w:rsidRPr="00BE6715">
        <w:rPr>
          <w:rFonts w:eastAsiaTheme="minorHAnsi"/>
          <w:color w:val="auto"/>
          <w:shd w:val="clear" w:color="auto" w:fill="auto"/>
          <w:lang w:val="es-ES" w:eastAsia="en-US"/>
        </w:rPr>
        <w:t>Díaz RamírezNL. (2012). Depresión y Factores Asociados en Estudiantes de la Universidad Nacional de Colombia. Tesis presentada a la Facultad deCiencias Humanas de la Universidad Nacional de Colombiacomo requerimiento parcial para optar al título deMagíster en Psicología</w:t>
      </w: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r w:rsidRPr="00BE6715">
        <w:rPr>
          <w:rFonts w:eastAsiaTheme="minorHAnsi"/>
          <w:color w:val="auto"/>
          <w:shd w:val="clear" w:color="auto" w:fill="auto"/>
          <w:lang w:val="es-ES" w:eastAsia="en-US"/>
        </w:rPr>
        <w:t xml:space="preserve">Dueñas M, Merma L, Ucharico R. (2003).  Prevalencia de Burnout en Médicos de la Ciudad de Tacna. CIMEL. 8(1), 33-37 </w:t>
      </w: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r w:rsidRPr="00BE6715">
        <w:rPr>
          <w:rFonts w:eastAsiaTheme="minorHAnsi"/>
          <w:color w:val="auto"/>
          <w:shd w:val="clear" w:color="auto" w:fill="auto"/>
          <w:lang w:val="es-ES" w:eastAsia="en-US"/>
        </w:rPr>
        <w:t>Dyrbye, L. Shanafelt, T. Estudiantes demedicina y médicos quemados. Disponible en:ﬁle:///D|/SILVIA/nueva/noticias/IntraMed%20-20Notic...iantes%20de%20medicina</w:t>
      </w: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r w:rsidRPr="00BE6715">
        <w:rPr>
          <w:rFonts w:eastAsiaTheme="minorHAnsi"/>
          <w:color w:val="auto"/>
          <w:shd w:val="clear" w:color="auto" w:fill="auto"/>
          <w:lang w:val="es-ES" w:eastAsia="en-US"/>
        </w:rPr>
        <w:t>%20y%20médicos%20’quemados’.htm</w:t>
      </w: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p>
    <w:p w:rsidR="009E4745" w:rsidRPr="00BE6715" w:rsidRDefault="009E4745" w:rsidP="00BE6715">
      <w:pPr>
        <w:shd w:val="clear" w:color="auto" w:fill="auto"/>
        <w:spacing w:line="360" w:lineRule="auto"/>
        <w:ind w:left="709" w:hanging="709"/>
        <w:rPr>
          <w:rFonts w:eastAsiaTheme="minorHAnsi"/>
          <w:color w:val="auto"/>
          <w:shd w:val="clear" w:color="auto" w:fill="auto"/>
          <w:lang w:val="en-US" w:eastAsia="en-US"/>
        </w:rPr>
      </w:pPr>
      <w:r w:rsidRPr="00BE6715">
        <w:rPr>
          <w:rFonts w:eastAsiaTheme="minorHAnsi"/>
          <w:color w:val="auto"/>
          <w:shd w:val="clear" w:color="auto" w:fill="auto"/>
          <w:lang w:val="es-ES" w:eastAsia="en-US"/>
        </w:rPr>
        <w:t xml:space="preserve">Feldman L, Gonçalves L, Chacón-Puignau G, Zaragoza J,  Bagés N. De Pablo J. (2008) Relaciones entre estrés académico, apoyo social, salud mental y rendimiento académico en estudiantes universitarios Venezolanos. </w:t>
      </w:r>
      <w:r w:rsidRPr="00BE6715">
        <w:rPr>
          <w:rFonts w:eastAsiaTheme="minorHAnsi"/>
          <w:color w:val="auto"/>
          <w:shd w:val="clear" w:color="auto" w:fill="auto"/>
          <w:lang w:val="en-US" w:eastAsia="en-US"/>
        </w:rPr>
        <w:t>UnivPsychol. 7(3), 739-751</w:t>
      </w:r>
    </w:p>
    <w:p w:rsidR="009E4745" w:rsidRPr="00BE6715" w:rsidRDefault="009E4745" w:rsidP="00BE6715">
      <w:pPr>
        <w:shd w:val="clear" w:color="auto" w:fill="auto"/>
        <w:spacing w:line="360" w:lineRule="auto"/>
        <w:ind w:left="709" w:hanging="709"/>
        <w:rPr>
          <w:rFonts w:eastAsiaTheme="minorHAnsi"/>
          <w:color w:val="auto"/>
          <w:shd w:val="clear" w:color="auto" w:fill="auto"/>
          <w:lang w:val="en-US" w:eastAsia="en-US"/>
        </w:rPr>
      </w:pP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r w:rsidRPr="00BE6715">
        <w:rPr>
          <w:rFonts w:eastAsiaTheme="minorHAnsi"/>
          <w:color w:val="auto"/>
          <w:shd w:val="clear" w:color="auto" w:fill="auto"/>
          <w:lang w:val="en-US" w:eastAsia="en-US"/>
        </w:rPr>
        <w:t xml:space="preserve">Freudenberger HJ.  (1974) Staff burn-out. Journal of Social Issues. </w:t>
      </w:r>
      <w:r w:rsidRPr="00BE6715">
        <w:rPr>
          <w:rFonts w:eastAsiaTheme="minorHAnsi"/>
          <w:color w:val="auto"/>
          <w:shd w:val="clear" w:color="auto" w:fill="auto"/>
          <w:lang w:val="es-ES" w:eastAsia="en-US"/>
        </w:rPr>
        <w:t>30, 159-165.</w:t>
      </w: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r w:rsidRPr="00BE6715">
        <w:rPr>
          <w:rFonts w:eastAsiaTheme="minorHAnsi"/>
          <w:color w:val="auto"/>
          <w:shd w:val="clear" w:color="auto" w:fill="auto"/>
          <w:lang w:val="es-ES" w:eastAsia="en-US"/>
        </w:rPr>
        <w:lastRenderedPageBreak/>
        <w:t>Gil Montes PR. (2002). Validez Factorial de la adaptación alespañol del Maslash Burnout Inventory-Humman Service Survey. Salud PúblicaMéxico. 44, 3040.</w:t>
      </w: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r w:rsidRPr="00BE6715">
        <w:rPr>
          <w:rFonts w:eastAsiaTheme="minorHAnsi"/>
          <w:color w:val="auto"/>
          <w:shd w:val="clear" w:color="auto" w:fill="auto"/>
          <w:lang w:val="es-ES" w:eastAsia="en-US"/>
        </w:rPr>
        <w:t>Gil Montes PR. (2003). El síndrome de quemarse por el trabajo (Síndrome de Burnout) en profesionales de enfermería. RevistaElectrônicaInterAçãoPsy.1, 19-23</w:t>
      </w: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r w:rsidRPr="00BE6715">
        <w:rPr>
          <w:rFonts w:eastAsiaTheme="minorHAnsi"/>
          <w:color w:val="auto"/>
          <w:shd w:val="clear" w:color="auto" w:fill="auto"/>
          <w:lang w:val="es-ES" w:eastAsia="en-US"/>
        </w:rPr>
        <w:t>González Cano M, Hernández Gracia T, Soberanes Rivas L Mendoza Austria F, Sánchez Monjaráz G. (2010). Estudio del Burnout y Engagement Académico en estudiantes universitarios. En Primer Congreso Internacional de Educación de la Universidad Autónoma del Estado de Hidalgo. Disponible en: http://www.uaeh.edu.mx/investigacion/productos/4849/estudio_del_burnout_y_engagement.pdf  revisado el 22 Marzo 2013</w:t>
      </w: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p>
    <w:p w:rsidR="009E4745" w:rsidRPr="00BE6715" w:rsidRDefault="009E4745" w:rsidP="00BE6715">
      <w:pPr>
        <w:shd w:val="clear" w:color="auto" w:fill="auto"/>
        <w:spacing w:line="360" w:lineRule="auto"/>
        <w:ind w:left="709" w:hanging="709"/>
        <w:rPr>
          <w:rFonts w:eastAsiaTheme="minorHAnsi"/>
          <w:color w:val="auto"/>
          <w:shd w:val="clear" w:color="auto" w:fill="auto"/>
          <w:lang w:val="en-US" w:eastAsia="en-US"/>
        </w:rPr>
      </w:pPr>
      <w:r w:rsidRPr="00BE6715">
        <w:rPr>
          <w:rFonts w:eastAsiaTheme="minorHAnsi"/>
          <w:color w:val="auto"/>
          <w:shd w:val="clear" w:color="auto" w:fill="auto"/>
          <w:lang w:val="es-ES" w:eastAsia="en-US"/>
        </w:rPr>
        <w:t xml:space="preserve">Grau A, Suñer R, García M. (2005). Desgaste profesional en el personal sanitario y su relación conlos factores personales y ambientales. </w:t>
      </w:r>
      <w:r w:rsidRPr="00BE6715">
        <w:rPr>
          <w:rFonts w:eastAsiaTheme="minorHAnsi"/>
          <w:color w:val="auto"/>
          <w:shd w:val="clear" w:color="auto" w:fill="auto"/>
          <w:lang w:val="en-US" w:eastAsia="en-US"/>
        </w:rPr>
        <w:t>Gaceta Sanitaria. 9(6),</w:t>
      </w:r>
    </w:p>
    <w:p w:rsidR="009E4745" w:rsidRPr="00BE6715" w:rsidRDefault="009E4745" w:rsidP="00BE6715">
      <w:pPr>
        <w:shd w:val="clear" w:color="auto" w:fill="auto"/>
        <w:spacing w:line="360" w:lineRule="auto"/>
        <w:ind w:left="709" w:hanging="709"/>
        <w:rPr>
          <w:rFonts w:eastAsiaTheme="minorHAnsi"/>
          <w:color w:val="auto"/>
          <w:shd w:val="clear" w:color="auto" w:fill="auto"/>
          <w:lang w:val="en-US" w:eastAsia="en-US"/>
        </w:rPr>
      </w:pPr>
    </w:p>
    <w:p w:rsidR="009E4745" w:rsidRPr="00BE6715" w:rsidRDefault="009E4745" w:rsidP="00BE6715">
      <w:pPr>
        <w:shd w:val="clear" w:color="auto" w:fill="auto"/>
        <w:spacing w:line="360" w:lineRule="auto"/>
        <w:ind w:left="709" w:hanging="709"/>
        <w:rPr>
          <w:rFonts w:eastAsiaTheme="minorHAnsi"/>
          <w:color w:val="auto"/>
          <w:shd w:val="clear" w:color="auto" w:fill="auto"/>
          <w:lang w:val="en-US" w:eastAsia="en-US"/>
        </w:rPr>
      </w:pPr>
      <w:r w:rsidRPr="00BE6715">
        <w:rPr>
          <w:rFonts w:eastAsiaTheme="minorHAnsi"/>
          <w:color w:val="auto"/>
          <w:shd w:val="clear" w:color="auto" w:fill="auto"/>
          <w:lang w:val="en-US" w:eastAsia="en-US"/>
        </w:rPr>
        <w:t>Green DE, Walkey FH, Taylor AJW.  (1991) The three-factor structure of the Maslach Burnout Inventory. Journal of Social Behavior and Personality. 6, 453-472.</w:t>
      </w:r>
    </w:p>
    <w:p w:rsidR="009E4745" w:rsidRPr="00BE6715" w:rsidRDefault="009E4745" w:rsidP="00BE6715">
      <w:pPr>
        <w:shd w:val="clear" w:color="auto" w:fill="auto"/>
        <w:spacing w:line="360" w:lineRule="auto"/>
        <w:ind w:left="709" w:hanging="709"/>
        <w:rPr>
          <w:rFonts w:eastAsiaTheme="minorHAnsi"/>
          <w:color w:val="auto"/>
          <w:shd w:val="clear" w:color="auto" w:fill="auto"/>
          <w:lang w:val="en-US" w:eastAsia="en-US"/>
        </w:rPr>
      </w:pP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r w:rsidRPr="00BE6715">
        <w:rPr>
          <w:rFonts w:eastAsiaTheme="minorHAnsi"/>
          <w:color w:val="auto"/>
          <w:shd w:val="clear" w:color="auto" w:fill="auto"/>
          <w:lang w:val="en-US" w:eastAsia="en-US"/>
        </w:rPr>
        <w:t xml:space="preserve">Guevara C, Henao D, Herrera J. (2004). </w:t>
      </w:r>
      <w:r w:rsidRPr="00BE6715">
        <w:rPr>
          <w:rFonts w:eastAsiaTheme="minorHAnsi"/>
          <w:color w:val="auto"/>
          <w:shd w:val="clear" w:color="auto" w:fill="auto"/>
          <w:lang w:val="es-ES" w:eastAsia="en-US"/>
        </w:rPr>
        <w:t>Síndrome de desgaste profesional en médicos internos y residentes. Hospital Universitario del Valle. ColombiaMédica. 35(4),173-174.</w:t>
      </w: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r w:rsidRPr="00BE6715">
        <w:rPr>
          <w:rFonts w:eastAsiaTheme="minorHAnsi"/>
          <w:color w:val="auto"/>
          <w:shd w:val="clear" w:color="auto" w:fill="auto"/>
          <w:lang w:val="es-ES" w:eastAsia="en-US"/>
        </w:rPr>
        <w:t>Jurado S, Villegas ME, Méndez L, Rodríguez F, Loperena V, Varela R. (1998). La estandarización del inventario de Beck  para los residentes de la Ciudad de México. Salud Mental. 21, 26-31</w:t>
      </w: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r w:rsidRPr="00BE6715">
        <w:rPr>
          <w:rFonts w:eastAsiaTheme="minorHAnsi"/>
          <w:color w:val="auto"/>
          <w:shd w:val="clear" w:color="auto" w:fill="auto"/>
          <w:lang w:val="es-ES" w:eastAsia="en-US"/>
        </w:rPr>
        <w:t>Lobo A, Camorro L, Luque A et al. 2002. Validación de las versiones en español del Montgomery Anxiety Rating Scale para la evaluación de la depresión y dela ansiedad. Medicina clínica . 118(13), 493-9</w:t>
      </w: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r w:rsidRPr="00BE6715">
        <w:rPr>
          <w:rFonts w:eastAsiaTheme="minorHAnsi"/>
          <w:color w:val="auto"/>
          <w:shd w:val="clear" w:color="auto" w:fill="auto"/>
          <w:lang w:val="es-ES" w:eastAsia="en-US"/>
        </w:rPr>
        <w:t>Lugo M, Lara C, Gonzalez JE, Granadillo D. (2004). Depresión, ansiedad y estrés en estudiantes de medicina del área básicay clínica, su relación con el índice de lateralización hemisférica cerebral y elrendimiento académico. Universidad de Carabobo año 1999-2000. Archivos Venezolanos de Psiquiatría y Neurología. 50(10), 21-29.</w:t>
      </w: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r w:rsidRPr="00BE6715">
        <w:rPr>
          <w:rFonts w:eastAsiaTheme="minorHAnsi"/>
          <w:color w:val="auto"/>
          <w:shd w:val="clear" w:color="auto" w:fill="auto"/>
          <w:lang w:val="es-ES" w:eastAsia="en-US"/>
        </w:rPr>
        <w:t>Maroco J, Tecedeiro M. (2009). Inventario de Burnout de Maslach para estudiantes portugueses. Psicología, Saúde e Doenças 2009.10(2), 227-236</w:t>
      </w: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r w:rsidRPr="00BE6715">
        <w:rPr>
          <w:rFonts w:eastAsiaTheme="minorHAnsi"/>
          <w:color w:val="auto"/>
          <w:shd w:val="clear" w:color="auto" w:fill="auto"/>
          <w:lang w:val="es-ES" w:eastAsia="en-US"/>
        </w:rPr>
        <w:t>Martínez Martínez IM, Marques-Pinto A, Salanova M, Lopes da Silva A. (2002) Burnout en estudiantes universitarios de España y Portugal. Un estudio croscultural. Ansiedad y Estrés. 8, 13-23</w:t>
      </w: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p>
    <w:p w:rsidR="009E4745" w:rsidRPr="00BE6715" w:rsidRDefault="009E4745" w:rsidP="00BE6715">
      <w:pPr>
        <w:shd w:val="clear" w:color="auto" w:fill="auto"/>
        <w:spacing w:line="360" w:lineRule="auto"/>
        <w:ind w:left="709" w:hanging="709"/>
        <w:rPr>
          <w:rFonts w:eastAsiaTheme="minorHAnsi"/>
          <w:color w:val="auto"/>
          <w:shd w:val="clear" w:color="auto" w:fill="auto"/>
          <w:lang w:val="en-US" w:eastAsia="en-US"/>
        </w:rPr>
      </w:pPr>
      <w:r w:rsidRPr="00BE6715">
        <w:rPr>
          <w:rFonts w:eastAsiaTheme="minorHAnsi"/>
          <w:color w:val="auto"/>
          <w:shd w:val="clear" w:color="auto" w:fill="auto"/>
          <w:lang w:val="es-ES" w:eastAsia="en-US"/>
        </w:rPr>
        <w:t xml:space="preserve">Martínez Martínez IM, Marques Pinto A. (2005). Burnout en estudiantes universitarios de España y Portugal y su relación con variables académicas. </w:t>
      </w:r>
      <w:r w:rsidRPr="00BE6715">
        <w:rPr>
          <w:rFonts w:eastAsiaTheme="minorHAnsi"/>
          <w:color w:val="auto"/>
          <w:shd w:val="clear" w:color="auto" w:fill="auto"/>
          <w:lang w:val="en-US" w:eastAsia="en-US"/>
        </w:rPr>
        <w:t>Aletheia, 21, 21-30</w:t>
      </w:r>
    </w:p>
    <w:p w:rsidR="009E4745" w:rsidRPr="00BE6715" w:rsidRDefault="009E4745" w:rsidP="00BE6715">
      <w:pPr>
        <w:shd w:val="clear" w:color="auto" w:fill="auto"/>
        <w:spacing w:line="360" w:lineRule="auto"/>
        <w:ind w:left="709" w:hanging="709"/>
        <w:rPr>
          <w:rFonts w:eastAsiaTheme="minorHAnsi"/>
          <w:color w:val="auto"/>
          <w:shd w:val="clear" w:color="auto" w:fill="auto"/>
          <w:lang w:val="en-US" w:eastAsia="en-US"/>
        </w:rPr>
      </w:pPr>
    </w:p>
    <w:p w:rsidR="009E4745" w:rsidRPr="00BE6715" w:rsidRDefault="009E4745" w:rsidP="00BE6715">
      <w:pPr>
        <w:shd w:val="clear" w:color="auto" w:fill="auto"/>
        <w:spacing w:line="360" w:lineRule="auto"/>
        <w:ind w:left="709" w:hanging="709"/>
        <w:rPr>
          <w:rFonts w:eastAsiaTheme="minorHAnsi"/>
          <w:color w:val="auto"/>
          <w:shd w:val="clear" w:color="auto" w:fill="auto"/>
          <w:lang w:val="en-US" w:eastAsia="en-US"/>
        </w:rPr>
      </w:pPr>
      <w:r w:rsidRPr="00BE6715">
        <w:rPr>
          <w:rFonts w:eastAsiaTheme="minorHAnsi"/>
          <w:color w:val="auto"/>
          <w:shd w:val="clear" w:color="auto" w:fill="auto"/>
          <w:lang w:val="en-US" w:eastAsia="en-US"/>
        </w:rPr>
        <w:t>Maslash C.  (1976)  Burned-out. Human behavior .5(9),16-22</w:t>
      </w:r>
    </w:p>
    <w:p w:rsidR="009E4745" w:rsidRPr="00BE6715" w:rsidRDefault="009E4745" w:rsidP="00BE6715">
      <w:pPr>
        <w:shd w:val="clear" w:color="auto" w:fill="auto"/>
        <w:spacing w:line="360" w:lineRule="auto"/>
        <w:ind w:left="709" w:hanging="709"/>
        <w:rPr>
          <w:rFonts w:eastAsiaTheme="minorHAnsi"/>
          <w:color w:val="auto"/>
          <w:shd w:val="clear" w:color="auto" w:fill="auto"/>
          <w:lang w:val="en-US" w:eastAsia="en-US"/>
        </w:rPr>
      </w:pPr>
    </w:p>
    <w:p w:rsidR="009E4745" w:rsidRPr="00BE6715" w:rsidRDefault="009E4745" w:rsidP="00BE6715">
      <w:pPr>
        <w:shd w:val="clear" w:color="auto" w:fill="auto"/>
        <w:spacing w:line="360" w:lineRule="auto"/>
        <w:ind w:left="709" w:hanging="709"/>
        <w:rPr>
          <w:rFonts w:eastAsiaTheme="minorHAnsi"/>
          <w:color w:val="auto"/>
          <w:shd w:val="clear" w:color="auto" w:fill="auto"/>
          <w:lang w:val="en-US" w:eastAsia="en-US"/>
        </w:rPr>
      </w:pPr>
      <w:r w:rsidRPr="00BE6715">
        <w:rPr>
          <w:rFonts w:eastAsiaTheme="minorHAnsi"/>
          <w:color w:val="auto"/>
          <w:shd w:val="clear" w:color="auto" w:fill="auto"/>
          <w:lang w:val="en-US" w:eastAsia="en-US"/>
        </w:rPr>
        <w:t>Maslach, C. (1993). Burnout: a multidimensional perspective. En Schaufeli, W. B. Maslach, C. &amp;Marek, T. (Ed.) Professional Burnout. Washington:Taylor&amp; Francis</w:t>
      </w:r>
    </w:p>
    <w:p w:rsidR="009E4745" w:rsidRPr="00BE6715" w:rsidRDefault="009E4745" w:rsidP="00BE6715">
      <w:pPr>
        <w:shd w:val="clear" w:color="auto" w:fill="auto"/>
        <w:spacing w:line="360" w:lineRule="auto"/>
        <w:ind w:left="709" w:hanging="709"/>
        <w:rPr>
          <w:rFonts w:eastAsiaTheme="minorHAnsi"/>
          <w:color w:val="auto"/>
          <w:shd w:val="clear" w:color="auto" w:fill="auto"/>
          <w:lang w:val="en-US" w:eastAsia="en-US"/>
        </w:rPr>
      </w:pPr>
    </w:p>
    <w:p w:rsidR="009E4745" w:rsidRPr="00BE6715" w:rsidRDefault="009E4745" w:rsidP="00BE6715">
      <w:pPr>
        <w:shd w:val="clear" w:color="auto" w:fill="auto"/>
        <w:spacing w:line="360" w:lineRule="auto"/>
        <w:ind w:left="709" w:hanging="709"/>
        <w:rPr>
          <w:rFonts w:eastAsiaTheme="minorHAnsi"/>
          <w:color w:val="auto"/>
          <w:shd w:val="clear" w:color="auto" w:fill="auto"/>
          <w:lang w:val="en-US" w:eastAsia="en-US"/>
        </w:rPr>
      </w:pPr>
      <w:r w:rsidRPr="00BE6715">
        <w:rPr>
          <w:rFonts w:eastAsiaTheme="minorHAnsi"/>
          <w:color w:val="auto"/>
          <w:shd w:val="clear" w:color="auto" w:fill="auto"/>
          <w:lang w:val="en-US" w:eastAsia="en-US"/>
        </w:rPr>
        <w:t>Maslach, C. &amp;Leiter, M. P. (1997). The Truth About Burnout – How organizations cause personal stress and what to do about it. San Francisco: Jossey-Bass Inc.</w:t>
      </w:r>
    </w:p>
    <w:p w:rsidR="009E4745" w:rsidRPr="00BE6715" w:rsidRDefault="009E4745" w:rsidP="00BE6715">
      <w:pPr>
        <w:shd w:val="clear" w:color="auto" w:fill="auto"/>
        <w:spacing w:line="360" w:lineRule="auto"/>
        <w:ind w:left="709" w:hanging="709"/>
        <w:rPr>
          <w:rFonts w:eastAsiaTheme="minorHAnsi"/>
          <w:color w:val="auto"/>
          <w:shd w:val="clear" w:color="auto" w:fill="auto"/>
          <w:lang w:val="en-US" w:eastAsia="en-US"/>
        </w:rPr>
      </w:pP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r w:rsidRPr="00BE6715">
        <w:rPr>
          <w:rFonts w:eastAsiaTheme="minorHAnsi"/>
          <w:color w:val="auto"/>
          <w:shd w:val="clear" w:color="auto" w:fill="auto"/>
          <w:lang w:val="en-US" w:eastAsia="en-US"/>
        </w:rPr>
        <w:t xml:space="preserve">Medina-Mora ME, Borges G, Muñoz CL, Benjet C, Jaimez JB. </w:t>
      </w:r>
      <w:r w:rsidRPr="00BE6715">
        <w:rPr>
          <w:rFonts w:eastAsiaTheme="minorHAnsi"/>
          <w:color w:val="auto"/>
          <w:shd w:val="clear" w:color="auto" w:fill="auto"/>
          <w:lang w:val="es-ES" w:eastAsia="en-US"/>
        </w:rPr>
        <w:t>(2003). Prevalencia de trastornos mentales y uso de servicios: Resultados de la Encuesta Nacional de epidemiología psiquiátrica en México. Salud Mental. 26(4),1-20</w:t>
      </w: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r w:rsidRPr="00BE6715">
        <w:rPr>
          <w:rFonts w:eastAsiaTheme="minorHAnsi"/>
          <w:color w:val="auto"/>
          <w:shd w:val="clear" w:color="auto" w:fill="auto"/>
          <w:lang w:val="es-ES" w:eastAsia="en-US"/>
        </w:rPr>
        <w:lastRenderedPageBreak/>
        <w:t>Miranda Bastidas CA, Gutiérrez Segura JC, Bernal Buitrago F, Escobar CA. (2000). Prevalencia de depresión en estudiantes de medicina de la Universidad del Valle. Revista colombiana de psiquiatría. 29(3), 251-260.</w:t>
      </w: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r w:rsidRPr="00BE6715">
        <w:rPr>
          <w:rFonts w:eastAsiaTheme="minorHAnsi"/>
          <w:color w:val="auto"/>
          <w:shd w:val="clear" w:color="auto" w:fill="auto"/>
          <w:lang w:val="es-ES" w:eastAsia="en-US"/>
        </w:rPr>
        <w:t>Nilson A, Contreras C, Harry Baker I, Lizardi Cervera J. (2007).Ansiedad y depresión en el primer año de la residencia en Medicina interna de la fundación clínica médica sur- UNAM. Bibliopsiquis.  en http://hdl.handle.net/10401/4331</w:t>
      </w: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r w:rsidRPr="00BE6715">
        <w:rPr>
          <w:rFonts w:eastAsiaTheme="minorHAnsi"/>
          <w:color w:val="auto"/>
          <w:shd w:val="clear" w:color="auto" w:fill="auto"/>
          <w:lang w:val="es-ES" w:eastAsia="en-US"/>
        </w:rPr>
        <w:t>Olmedo-Buenrostro BA, Torres-Hernández J, Velasco-Rodríguez R, Mora-Brambila AB, Blas-Vargas LA. (2006). Prevalencia y severidad de depresión en estudiantes de enfermería de la Universidad de Colima. Rev Enferm IMSS. 14 (1), 17-22</w:t>
      </w: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r w:rsidRPr="00BE6715">
        <w:rPr>
          <w:rFonts w:eastAsiaTheme="minorHAnsi"/>
          <w:color w:val="auto"/>
          <w:shd w:val="clear" w:color="auto" w:fill="auto"/>
          <w:lang w:val="es-ES" w:eastAsia="en-US"/>
        </w:rPr>
        <w:t>Ordenes N. (2004). Prevalencia de Burnout en trabajadores del hospital Roberto del Río. Revista Chilena Pediatria. 75(5),449-454.</w:t>
      </w: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r w:rsidRPr="00BE6715">
        <w:rPr>
          <w:rFonts w:eastAsiaTheme="minorHAnsi"/>
          <w:color w:val="auto"/>
          <w:shd w:val="clear" w:color="auto" w:fill="auto"/>
          <w:lang w:val="es-ES" w:eastAsia="en-US"/>
        </w:rPr>
        <w:t>Paredes OL, Sanabria-Ferrand PA. (2008). Prevalencia del síndrome de Burnout en residentes de especialidades médico quirúrgicas, su relación con el bienestar psicológico y con variables sociodemográficas y laborales.  RevFacMed. 16(1), 25-32</w:t>
      </w: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r w:rsidRPr="00BE6715">
        <w:rPr>
          <w:rFonts w:eastAsiaTheme="minorHAnsi"/>
          <w:color w:val="auto"/>
          <w:shd w:val="clear" w:color="auto" w:fill="auto"/>
          <w:lang w:val="es-ES" w:eastAsia="en-US"/>
        </w:rPr>
        <w:t>Pera M, Serra P. (2002). Prevalencia del síndrome delquemado (SQ) y estudio de los factores asociadosen los trabajadores de un hospital comarcal. GacetaSanitaria. Barcelona. (Nov-Dic 2002). Disponibleen: http://www.scielosp.org/scielo.</w:t>
      </w: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r w:rsidRPr="00BE6715">
        <w:rPr>
          <w:rFonts w:eastAsiaTheme="minorHAnsi"/>
          <w:color w:val="auto"/>
          <w:shd w:val="clear" w:color="auto" w:fill="auto"/>
          <w:lang w:val="es-ES" w:eastAsia="en-US"/>
        </w:rPr>
        <w:t>Pereyra-Elías R,Ocampo-Mascaró J,Silva-Salazar V,Vélez-Segovia E, Da Costa-Bullón D,Toro-Polo LM,Vicuña-Ortega J, (2010). Prevalencia y factores asociados con síntomas depresivos en estudiantes de ciencias de la salud de una universidad privada de Lima, Perú 2010. RevPeruMedExp Salud Publica. 27(4), 520-26</w:t>
      </w: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p>
    <w:p w:rsidR="009E4745" w:rsidRPr="00BE6715" w:rsidRDefault="009E4745" w:rsidP="00BE6715">
      <w:pPr>
        <w:shd w:val="clear" w:color="auto" w:fill="auto"/>
        <w:spacing w:line="360" w:lineRule="auto"/>
        <w:ind w:left="709" w:hanging="709"/>
        <w:rPr>
          <w:rFonts w:eastAsiaTheme="minorHAnsi"/>
          <w:color w:val="auto"/>
          <w:shd w:val="clear" w:color="auto" w:fill="auto"/>
          <w:lang w:val="en-US" w:eastAsia="en-US"/>
        </w:rPr>
      </w:pPr>
      <w:r w:rsidRPr="00BE6715">
        <w:rPr>
          <w:rFonts w:eastAsiaTheme="minorHAnsi"/>
          <w:color w:val="auto"/>
          <w:shd w:val="clear" w:color="auto" w:fill="auto"/>
          <w:lang w:val="en-US" w:eastAsia="en-US"/>
        </w:rPr>
        <w:t>Pines A, Aronson E, Kufry D. (1981), Burnout. New York: The Free Press</w:t>
      </w:r>
    </w:p>
    <w:p w:rsidR="009E4745" w:rsidRPr="00BE6715" w:rsidRDefault="009E4745" w:rsidP="00BE6715">
      <w:pPr>
        <w:shd w:val="clear" w:color="auto" w:fill="auto"/>
        <w:spacing w:line="360" w:lineRule="auto"/>
        <w:ind w:left="709" w:hanging="709"/>
        <w:rPr>
          <w:rFonts w:eastAsiaTheme="minorHAnsi"/>
          <w:color w:val="auto"/>
          <w:shd w:val="clear" w:color="auto" w:fill="auto"/>
          <w:lang w:val="en-US" w:eastAsia="en-US"/>
        </w:rPr>
      </w:pP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r w:rsidRPr="00BE6715">
        <w:rPr>
          <w:rFonts w:eastAsiaTheme="minorHAnsi"/>
          <w:color w:val="auto"/>
          <w:shd w:val="clear" w:color="auto" w:fill="auto"/>
          <w:lang w:val="es-ES" w:eastAsia="en-US"/>
        </w:rPr>
        <w:t>Preciado Serrano ML, Vásquez Goñi JM. (2010). Perfil de estrés y síndrome de burnout en estudiantes mexicanos de odontología de una Universidad Pública. RevChilNeuro-psiquiat. 48(1),11-19</w:t>
      </w: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r w:rsidRPr="00BE6715">
        <w:rPr>
          <w:rFonts w:eastAsiaTheme="minorHAnsi"/>
          <w:color w:val="auto"/>
          <w:shd w:val="clear" w:color="auto" w:fill="auto"/>
          <w:lang w:val="es-ES" w:eastAsia="en-US"/>
        </w:rPr>
        <w:t>Santander TJ, Romero S MI, Hitschfeld A MJ, Zamora A V.(2011). Prevalencia de ansiedad y depresión entre los estudiantes de medicina de la Pontiﬁcia Universidad Católica de Chile. RevChilNeuro-Psiquiat. 49 (1), 47-55</w:t>
      </w: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p>
    <w:p w:rsidR="009E4745" w:rsidRPr="00BE6715" w:rsidRDefault="009E4745" w:rsidP="00BE6715">
      <w:pPr>
        <w:shd w:val="clear" w:color="auto" w:fill="auto"/>
        <w:spacing w:line="360" w:lineRule="auto"/>
        <w:ind w:left="709" w:hanging="709"/>
        <w:rPr>
          <w:rFonts w:eastAsiaTheme="minorHAnsi"/>
          <w:color w:val="auto"/>
          <w:shd w:val="clear" w:color="auto" w:fill="auto"/>
          <w:lang w:val="en-US" w:eastAsia="en-US"/>
        </w:rPr>
      </w:pPr>
      <w:r w:rsidRPr="00BE6715">
        <w:rPr>
          <w:rFonts w:eastAsiaTheme="minorHAnsi"/>
          <w:color w:val="auto"/>
          <w:shd w:val="clear" w:color="auto" w:fill="auto"/>
          <w:lang w:val="es-ES" w:eastAsia="en-US"/>
        </w:rPr>
        <w:t xml:space="preserve">Santes MC, Melendez S, Martínez N, Ramos I, Preciado ML, Pando M. (2009). La salud mental y predisposición al síndrome de burnout en estudiantes de enfermería. </w:t>
      </w:r>
      <w:r w:rsidRPr="00BE6715">
        <w:rPr>
          <w:rFonts w:eastAsiaTheme="minorHAnsi"/>
          <w:color w:val="auto"/>
          <w:shd w:val="clear" w:color="auto" w:fill="auto"/>
          <w:lang w:val="en-US" w:eastAsia="en-US"/>
        </w:rPr>
        <w:t>RevChil Salud Publica.13(1), 23-29</w:t>
      </w:r>
    </w:p>
    <w:p w:rsidR="009E4745" w:rsidRPr="00BE6715" w:rsidRDefault="009E4745" w:rsidP="00BE6715">
      <w:pPr>
        <w:shd w:val="clear" w:color="auto" w:fill="auto"/>
        <w:spacing w:line="360" w:lineRule="auto"/>
        <w:ind w:left="709" w:hanging="709"/>
        <w:rPr>
          <w:rFonts w:eastAsiaTheme="minorHAnsi"/>
          <w:color w:val="auto"/>
          <w:shd w:val="clear" w:color="auto" w:fill="auto"/>
          <w:lang w:val="en-US" w:eastAsia="en-US"/>
        </w:rPr>
      </w:pPr>
    </w:p>
    <w:p w:rsidR="009E4745" w:rsidRPr="00BE6715" w:rsidRDefault="009E4745" w:rsidP="00BE6715">
      <w:pPr>
        <w:shd w:val="clear" w:color="auto" w:fill="auto"/>
        <w:spacing w:line="360" w:lineRule="auto"/>
        <w:ind w:left="709" w:hanging="709"/>
        <w:rPr>
          <w:rFonts w:eastAsiaTheme="minorHAnsi"/>
          <w:color w:val="auto"/>
          <w:shd w:val="clear" w:color="auto" w:fill="auto"/>
          <w:lang w:val="en-US" w:eastAsia="en-US"/>
        </w:rPr>
      </w:pPr>
      <w:r w:rsidRPr="00BE6715">
        <w:rPr>
          <w:rFonts w:eastAsiaTheme="minorHAnsi"/>
          <w:color w:val="auto"/>
          <w:shd w:val="clear" w:color="auto" w:fill="auto"/>
          <w:lang w:val="en-US" w:eastAsia="en-US"/>
        </w:rPr>
        <w:t>Shanafelt T, Bradley K, Wipf J, Back A. (2002). Burnoutand self-reported patient care in an internalmedicine residency program. Ann InternMed. 136, 358-367.</w:t>
      </w:r>
    </w:p>
    <w:p w:rsidR="009E4745" w:rsidRPr="00BE6715" w:rsidRDefault="009E4745" w:rsidP="00BE6715">
      <w:pPr>
        <w:shd w:val="clear" w:color="auto" w:fill="auto"/>
        <w:spacing w:line="360" w:lineRule="auto"/>
        <w:ind w:left="709" w:hanging="709"/>
        <w:rPr>
          <w:rFonts w:eastAsiaTheme="minorHAnsi"/>
          <w:color w:val="auto"/>
          <w:shd w:val="clear" w:color="auto" w:fill="auto"/>
          <w:lang w:val="en-US" w:eastAsia="en-US"/>
        </w:rPr>
      </w:pP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r w:rsidRPr="00BE6715">
        <w:rPr>
          <w:rFonts w:eastAsiaTheme="minorHAnsi"/>
          <w:color w:val="auto"/>
          <w:shd w:val="clear" w:color="auto" w:fill="auto"/>
          <w:lang w:val="en-US" w:eastAsia="en-US"/>
        </w:rPr>
        <w:t xml:space="preserve">Schaufeli WB, Martínez IM, MarquésPinto A, Salanova M, Bakker A. (2002) Burnout and engagement in university students: A cross-national study. </w:t>
      </w:r>
      <w:r w:rsidRPr="00BE6715">
        <w:rPr>
          <w:rFonts w:eastAsiaTheme="minorHAnsi"/>
          <w:color w:val="auto"/>
          <w:shd w:val="clear" w:color="auto" w:fill="auto"/>
          <w:lang w:val="es-ES" w:eastAsia="en-US"/>
        </w:rPr>
        <w:t>Journal of Cross-Cultural Studies. 33, 464-481</w:t>
      </w: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r w:rsidRPr="00BE6715">
        <w:rPr>
          <w:rFonts w:eastAsiaTheme="minorHAnsi"/>
          <w:color w:val="auto"/>
          <w:shd w:val="clear" w:color="auto" w:fill="auto"/>
          <w:lang w:val="es-ES" w:eastAsia="en-US"/>
        </w:rPr>
        <w:t>Seyle H. (1960) la tensión en la vida (el stress). Buenos aires: Compañía General Fabril</w:t>
      </w:r>
    </w:p>
    <w:p w:rsidR="009E4745" w:rsidRPr="00BE6715" w:rsidRDefault="009E4745" w:rsidP="00BE6715">
      <w:pPr>
        <w:shd w:val="clear" w:color="auto" w:fill="auto"/>
        <w:spacing w:line="360" w:lineRule="auto"/>
        <w:ind w:left="709" w:hanging="709"/>
        <w:rPr>
          <w:rFonts w:eastAsiaTheme="minorHAnsi"/>
          <w:color w:val="auto"/>
          <w:shd w:val="clear" w:color="auto" w:fill="auto"/>
          <w:lang w:val="es-ES" w:eastAsia="en-US"/>
        </w:rPr>
      </w:pPr>
    </w:p>
    <w:p w:rsidR="009E4745" w:rsidRPr="009E4745" w:rsidRDefault="009E4745" w:rsidP="00BE6715">
      <w:pPr>
        <w:shd w:val="clear" w:color="auto" w:fill="auto"/>
        <w:spacing w:line="360" w:lineRule="auto"/>
        <w:ind w:left="709" w:hanging="709"/>
        <w:rPr>
          <w:rFonts w:asciiTheme="minorHAnsi" w:eastAsiaTheme="minorHAnsi" w:hAnsiTheme="minorHAnsi" w:cstheme="minorHAnsi"/>
          <w:color w:val="auto"/>
          <w:shd w:val="clear" w:color="auto" w:fill="auto"/>
          <w:lang w:val="es-ES" w:eastAsia="en-US"/>
        </w:rPr>
      </w:pPr>
      <w:r w:rsidRPr="00BE6715">
        <w:rPr>
          <w:rFonts w:eastAsiaTheme="minorHAnsi"/>
          <w:color w:val="auto"/>
          <w:shd w:val="clear" w:color="auto" w:fill="auto"/>
          <w:lang w:val="es-ES" w:eastAsia="en-US"/>
        </w:rPr>
        <w:t>Valencia Montoya G. (2010). Riesgo de depresión en estudiantes del programa de enfermería de la universidad libre de pereira.  Cultura del Cuidado Enfermería. 7( 2), 15-27</w:t>
      </w:r>
    </w:p>
    <w:p w:rsidR="000A4DF7" w:rsidRPr="009E4745" w:rsidRDefault="000A4DF7" w:rsidP="009E4745">
      <w:pPr>
        <w:spacing w:line="360" w:lineRule="auto"/>
        <w:rPr>
          <w:rFonts w:asciiTheme="minorHAnsi" w:hAnsiTheme="minorHAnsi" w:cstheme="minorHAnsi"/>
        </w:rPr>
      </w:pPr>
    </w:p>
    <w:sectPr w:rsidR="000A4DF7" w:rsidRPr="009E4745" w:rsidSect="002F2DB5">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2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706" w:rsidRDefault="00D83706" w:rsidP="0028282C">
      <w:r>
        <w:separator/>
      </w:r>
    </w:p>
  </w:endnote>
  <w:endnote w:type="continuationSeparator" w:id="0">
    <w:p w:rsidR="00D83706" w:rsidRDefault="00D83706" w:rsidP="00282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BE0" w:rsidRDefault="002A6BE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auto"/>
      </w:rPr>
      <w:id w:val="13882311"/>
      <w:docPartObj>
        <w:docPartGallery w:val="Page Numbers (Bottom of Page)"/>
        <w:docPartUnique/>
      </w:docPartObj>
    </w:sdtPr>
    <w:sdtEndPr/>
    <w:sdtContent>
      <w:p w:rsidR="002F2DB5" w:rsidRPr="00031E66" w:rsidRDefault="002F2DB5" w:rsidP="002F2DB5">
        <w:pPr>
          <w:pStyle w:val="Piedepgina"/>
          <w:rPr>
            <w:color w:val="auto"/>
            <w:lang w:val="es-ES_tradnl"/>
          </w:rPr>
        </w:pPr>
      </w:p>
      <w:p w:rsidR="002F2DB5" w:rsidRDefault="002F2DB5" w:rsidP="002F2DB5">
        <w:pPr>
          <w:pStyle w:val="Piedepgina"/>
          <w:jc w:val="center"/>
          <w:rPr>
            <w:color w:val="auto"/>
            <w:lang w:val="es-ES_tradnl"/>
          </w:rPr>
        </w:pPr>
      </w:p>
      <w:p w:rsidR="002F2DB5" w:rsidRPr="006D5E0B" w:rsidRDefault="002F2DB5" w:rsidP="002F2DB5">
        <w:pPr>
          <w:pStyle w:val="Piedepgina"/>
          <w:jc w:val="center"/>
          <w:rPr>
            <w:lang w:val="es-ES_tradnl"/>
          </w:rPr>
        </w:pPr>
      </w:p>
      <w:p w:rsidR="005B1A83" w:rsidRPr="00DF0298" w:rsidRDefault="00BE6715" w:rsidP="005B1A83">
        <w:pPr>
          <w:pStyle w:val="Piedepgina"/>
          <w:jc w:val="center"/>
          <w:rPr>
            <w:rFonts w:asciiTheme="minorHAnsi" w:hAnsiTheme="minorHAnsi" w:cstheme="minorHAnsi"/>
            <w:b/>
          </w:rPr>
        </w:pPr>
        <w:r>
          <w:rPr>
            <w:rFonts w:asciiTheme="minorHAnsi" w:hAnsiTheme="minorHAnsi" w:cstheme="minorHAnsi"/>
            <w:b/>
            <w:lang w:val="es-MX"/>
          </w:rPr>
          <w:t>Vol. 3</w:t>
        </w:r>
        <w:r w:rsidRPr="00197672">
          <w:rPr>
            <w:rFonts w:asciiTheme="minorHAnsi" w:hAnsiTheme="minorHAnsi" w:cstheme="minorHAnsi"/>
            <w:b/>
            <w:lang w:val="es-MX"/>
          </w:rPr>
          <w:t xml:space="preserve">, Núm. </w:t>
        </w:r>
        <w:r>
          <w:rPr>
            <w:rFonts w:asciiTheme="minorHAnsi" w:hAnsiTheme="minorHAnsi" w:cstheme="minorHAnsi"/>
            <w:b/>
            <w:lang w:val="es-MX"/>
          </w:rPr>
          <w:t>5</w:t>
        </w:r>
        <w:r w:rsidRPr="00197672">
          <w:rPr>
            <w:rFonts w:asciiTheme="minorHAnsi" w:hAnsiTheme="minorHAnsi" w:cstheme="minorHAnsi"/>
            <w:b/>
            <w:lang w:val="es-MX"/>
          </w:rPr>
          <w:t xml:space="preserve">                   </w:t>
        </w:r>
        <w:r>
          <w:rPr>
            <w:rFonts w:asciiTheme="minorHAnsi" w:hAnsiTheme="minorHAnsi" w:cstheme="minorHAnsi"/>
            <w:b/>
            <w:lang w:val="es-MX"/>
          </w:rPr>
          <w:t>Enero – Junio 2016</w:t>
        </w:r>
        <w:r w:rsidRPr="00197672">
          <w:rPr>
            <w:rFonts w:asciiTheme="minorHAnsi" w:hAnsiTheme="minorHAnsi" w:cstheme="minorHAnsi"/>
            <w:b/>
            <w:lang w:val="es-MX"/>
          </w:rPr>
          <w:t xml:space="preserve">                           CDHIS</w:t>
        </w:r>
      </w:p>
      <w:p w:rsidR="002F2DB5" w:rsidRPr="00632C05" w:rsidRDefault="00D83706" w:rsidP="002F2DB5">
        <w:pPr>
          <w:pStyle w:val="Piedepgina"/>
          <w:jc w:val="center"/>
        </w:pPr>
      </w:p>
    </w:sdtContent>
  </w:sdt>
  <w:p w:rsidR="007A5B92" w:rsidRPr="002F2DB5" w:rsidRDefault="007A5B92" w:rsidP="002F2DB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BE0" w:rsidRDefault="002A6BE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706" w:rsidRDefault="00D83706" w:rsidP="0028282C">
      <w:r>
        <w:separator/>
      </w:r>
    </w:p>
  </w:footnote>
  <w:footnote w:type="continuationSeparator" w:id="0">
    <w:p w:rsidR="00D83706" w:rsidRDefault="00D83706" w:rsidP="002828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BE0" w:rsidRDefault="002A6BE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BE0" w:rsidRDefault="002A6BE0" w:rsidP="002A6BE0">
    <w:pPr>
      <w:pStyle w:val="Encabezado"/>
      <w:jc w:val="center"/>
      <w:rPr>
        <w:shd w:val="clear" w:color="auto" w:fill="auto"/>
        <w:lang w:val="es-MX"/>
      </w:rPr>
    </w:pPr>
    <w:r>
      <w:rPr>
        <w:rFonts w:asciiTheme="minorHAnsi" w:hAnsiTheme="minorHAnsi" w:cstheme="minorHAnsi"/>
        <w:b/>
        <w:i/>
        <w:lang w:val="es-MX"/>
      </w:rPr>
      <w:t>Revista Electrónica del Desarrollo Humano</w:t>
    </w:r>
    <w:r>
      <w:rPr>
        <w:rFonts w:asciiTheme="minorHAnsi" w:hAnsiTheme="minorHAnsi" w:cstheme="minorHAnsi"/>
        <w:b/>
        <w:i/>
        <w:lang w:val="es-MX"/>
      </w:rPr>
      <w:t xml:space="preserve"> para la Innovación Social   </w:t>
    </w:r>
    <w:bookmarkStart w:id="0" w:name="_GoBack"/>
    <w:bookmarkEnd w:id="0"/>
    <w:r>
      <w:rPr>
        <w:rFonts w:asciiTheme="minorHAnsi" w:hAnsiTheme="minorHAnsi" w:cstheme="minorHAnsi"/>
        <w:b/>
        <w:i/>
        <w:lang w:val="es-MX"/>
      </w:rPr>
      <w:t xml:space="preserve">   ISSN: 2448 - 7422</w:t>
    </w:r>
  </w:p>
  <w:p w:rsidR="0028282C" w:rsidRPr="0028282C" w:rsidRDefault="0028282C">
    <w:pPr>
      <w:pStyle w:val="Encabezado"/>
    </w:pPr>
    <w:r w:rsidRPr="0028282C">
      <w:t xml:space="preserve">  </w:t>
    </w:r>
    <w:r w:rsidR="007A5B92">
      <w:t xml:space="preserve">                     </w:t>
    </w:r>
    <w:r w:rsidR="00094781">
      <w:rPr>
        <w:b/>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BE0" w:rsidRDefault="002A6BE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85BCA"/>
    <w:multiLevelType w:val="hybridMultilevel"/>
    <w:tmpl w:val="1ADEF8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B874323"/>
    <w:multiLevelType w:val="hybridMultilevel"/>
    <w:tmpl w:val="BA086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3179B8"/>
    <w:multiLevelType w:val="hybridMultilevel"/>
    <w:tmpl w:val="C780FFC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991D53"/>
    <w:multiLevelType w:val="multilevel"/>
    <w:tmpl w:val="EC6C8264"/>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321052FB"/>
    <w:multiLevelType w:val="hybridMultilevel"/>
    <w:tmpl w:val="C51A32EA"/>
    <w:lvl w:ilvl="0" w:tplc="F04E81F0">
      <w:start w:val="1"/>
      <w:numFmt w:val="upperRoman"/>
      <w:lvlText w:val="%1."/>
      <w:lvlJc w:val="right"/>
      <w:pPr>
        <w:ind w:left="720" w:hanging="360"/>
      </w:pPr>
      <w:rPr>
        <w:b/>
      </w:rPr>
    </w:lvl>
    <w:lvl w:ilvl="1" w:tplc="6A1AF4C2" w:tentative="1">
      <w:start w:val="1"/>
      <w:numFmt w:val="lowerLetter"/>
      <w:lvlText w:val="%2."/>
      <w:lvlJc w:val="left"/>
      <w:pPr>
        <w:ind w:left="1440" w:hanging="360"/>
      </w:pPr>
    </w:lvl>
    <w:lvl w:ilvl="2" w:tplc="630E828E" w:tentative="1">
      <w:start w:val="1"/>
      <w:numFmt w:val="lowerRoman"/>
      <w:lvlText w:val="%3."/>
      <w:lvlJc w:val="right"/>
      <w:pPr>
        <w:ind w:left="2160" w:hanging="180"/>
      </w:pPr>
    </w:lvl>
    <w:lvl w:ilvl="3" w:tplc="F3FEEC86" w:tentative="1">
      <w:start w:val="1"/>
      <w:numFmt w:val="decimal"/>
      <w:lvlText w:val="%4."/>
      <w:lvlJc w:val="left"/>
      <w:pPr>
        <w:ind w:left="2880" w:hanging="360"/>
      </w:pPr>
    </w:lvl>
    <w:lvl w:ilvl="4" w:tplc="97BC86B0" w:tentative="1">
      <w:start w:val="1"/>
      <w:numFmt w:val="lowerLetter"/>
      <w:lvlText w:val="%5."/>
      <w:lvlJc w:val="left"/>
      <w:pPr>
        <w:ind w:left="3600" w:hanging="360"/>
      </w:pPr>
    </w:lvl>
    <w:lvl w:ilvl="5" w:tplc="850A5A3E" w:tentative="1">
      <w:start w:val="1"/>
      <w:numFmt w:val="lowerRoman"/>
      <w:lvlText w:val="%6."/>
      <w:lvlJc w:val="right"/>
      <w:pPr>
        <w:ind w:left="4320" w:hanging="180"/>
      </w:pPr>
    </w:lvl>
    <w:lvl w:ilvl="6" w:tplc="5EFC556C" w:tentative="1">
      <w:start w:val="1"/>
      <w:numFmt w:val="decimal"/>
      <w:lvlText w:val="%7."/>
      <w:lvlJc w:val="left"/>
      <w:pPr>
        <w:ind w:left="5040" w:hanging="360"/>
      </w:pPr>
    </w:lvl>
    <w:lvl w:ilvl="7" w:tplc="98F09D34" w:tentative="1">
      <w:start w:val="1"/>
      <w:numFmt w:val="lowerLetter"/>
      <w:lvlText w:val="%8."/>
      <w:lvlJc w:val="left"/>
      <w:pPr>
        <w:ind w:left="5760" w:hanging="360"/>
      </w:pPr>
    </w:lvl>
    <w:lvl w:ilvl="8" w:tplc="59208760" w:tentative="1">
      <w:start w:val="1"/>
      <w:numFmt w:val="lowerRoman"/>
      <w:lvlText w:val="%9."/>
      <w:lvlJc w:val="right"/>
      <w:pPr>
        <w:ind w:left="6480" w:hanging="180"/>
      </w:pPr>
    </w:lvl>
  </w:abstractNum>
  <w:abstractNum w:abstractNumId="5" w15:restartNumberingAfterBreak="0">
    <w:nsid w:val="39925E10"/>
    <w:multiLevelType w:val="hybridMultilevel"/>
    <w:tmpl w:val="8E9EBE14"/>
    <w:lvl w:ilvl="0" w:tplc="0C0A0001">
      <w:start w:val="1"/>
      <w:numFmt w:val="decimal"/>
      <w:lvlText w:val="%1."/>
      <w:lvlJc w:val="left"/>
      <w:pPr>
        <w:ind w:left="72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6" w15:restartNumberingAfterBreak="0">
    <w:nsid w:val="3ADE1398"/>
    <w:multiLevelType w:val="hybridMultilevel"/>
    <w:tmpl w:val="E904CDBE"/>
    <w:lvl w:ilvl="0" w:tplc="AF1660FC">
      <w:start w:val="1"/>
      <w:numFmt w:val="lowerLetter"/>
      <w:lvlText w:val="%1)"/>
      <w:lvlJc w:val="left"/>
      <w:pPr>
        <w:tabs>
          <w:tab w:val="num" w:pos="720"/>
        </w:tabs>
        <w:ind w:left="720" w:hanging="360"/>
      </w:pPr>
      <w:rPr>
        <w:rFonts w:ascii="Times New Roman" w:eastAsia="Times New Roman" w:hAnsi="Times New Roman" w:cs="Times New Roman"/>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7" w15:restartNumberingAfterBreak="0">
    <w:nsid w:val="5D251B75"/>
    <w:multiLevelType w:val="hybridMultilevel"/>
    <w:tmpl w:val="0E9A7B10"/>
    <w:lvl w:ilvl="0" w:tplc="B434DF5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E97082A"/>
    <w:multiLevelType w:val="hybridMultilevel"/>
    <w:tmpl w:val="D754528E"/>
    <w:lvl w:ilvl="0" w:tplc="E098A304">
      <w:start w:val="1"/>
      <w:numFmt w:val="bullet"/>
      <w:lvlText w:val=""/>
      <w:lvlJc w:val="left"/>
      <w:pPr>
        <w:ind w:left="720" w:hanging="360"/>
      </w:pPr>
      <w:rPr>
        <w:rFonts w:ascii="Symbol" w:hAnsi="Symbol" w:hint="default"/>
      </w:rPr>
    </w:lvl>
    <w:lvl w:ilvl="1" w:tplc="70D05DDC" w:tentative="1">
      <w:start w:val="1"/>
      <w:numFmt w:val="bullet"/>
      <w:lvlText w:val="o"/>
      <w:lvlJc w:val="left"/>
      <w:pPr>
        <w:ind w:left="1440" w:hanging="360"/>
      </w:pPr>
      <w:rPr>
        <w:rFonts w:ascii="Courier New" w:hAnsi="Courier New" w:cs="Courier New" w:hint="default"/>
      </w:rPr>
    </w:lvl>
    <w:lvl w:ilvl="2" w:tplc="4E34AEC6" w:tentative="1">
      <w:start w:val="1"/>
      <w:numFmt w:val="bullet"/>
      <w:lvlText w:val=""/>
      <w:lvlJc w:val="left"/>
      <w:pPr>
        <w:ind w:left="2160" w:hanging="360"/>
      </w:pPr>
      <w:rPr>
        <w:rFonts w:ascii="Wingdings" w:hAnsi="Wingdings" w:hint="default"/>
      </w:rPr>
    </w:lvl>
    <w:lvl w:ilvl="3" w:tplc="8B98AAB6" w:tentative="1">
      <w:start w:val="1"/>
      <w:numFmt w:val="bullet"/>
      <w:lvlText w:val=""/>
      <w:lvlJc w:val="left"/>
      <w:pPr>
        <w:ind w:left="2880" w:hanging="360"/>
      </w:pPr>
      <w:rPr>
        <w:rFonts w:ascii="Symbol" w:hAnsi="Symbol" w:hint="default"/>
      </w:rPr>
    </w:lvl>
    <w:lvl w:ilvl="4" w:tplc="BC8604F8" w:tentative="1">
      <w:start w:val="1"/>
      <w:numFmt w:val="bullet"/>
      <w:lvlText w:val="o"/>
      <w:lvlJc w:val="left"/>
      <w:pPr>
        <w:ind w:left="3600" w:hanging="360"/>
      </w:pPr>
      <w:rPr>
        <w:rFonts w:ascii="Courier New" w:hAnsi="Courier New" w:cs="Courier New" w:hint="default"/>
      </w:rPr>
    </w:lvl>
    <w:lvl w:ilvl="5" w:tplc="0B447DAA" w:tentative="1">
      <w:start w:val="1"/>
      <w:numFmt w:val="bullet"/>
      <w:lvlText w:val=""/>
      <w:lvlJc w:val="left"/>
      <w:pPr>
        <w:ind w:left="4320" w:hanging="360"/>
      </w:pPr>
      <w:rPr>
        <w:rFonts w:ascii="Wingdings" w:hAnsi="Wingdings" w:hint="default"/>
      </w:rPr>
    </w:lvl>
    <w:lvl w:ilvl="6" w:tplc="68447024" w:tentative="1">
      <w:start w:val="1"/>
      <w:numFmt w:val="bullet"/>
      <w:lvlText w:val=""/>
      <w:lvlJc w:val="left"/>
      <w:pPr>
        <w:ind w:left="5040" w:hanging="360"/>
      </w:pPr>
      <w:rPr>
        <w:rFonts w:ascii="Symbol" w:hAnsi="Symbol" w:hint="default"/>
      </w:rPr>
    </w:lvl>
    <w:lvl w:ilvl="7" w:tplc="7C727E50" w:tentative="1">
      <w:start w:val="1"/>
      <w:numFmt w:val="bullet"/>
      <w:lvlText w:val="o"/>
      <w:lvlJc w:val="left"/>
      <w:pPr>
        <w:ind w:left="5760" w:hanging="360"/>
      </w:pPr>
      <w:rPr>
        <w:rFonts w:ascii="Courier New" w:hAnsi="Courier New" w:cs="Courier New" w:hint="default"/>
      </w:rPr>
    </w:lvl>
    <w:lvl w:ilvl="8" w:tplc="31D4DEC6" w:tentative="1">
      <w:start w:val="1"/>
      <w:numFmt w:val="bullet"/>
      <w:lvlText w:val=""/>
      <w:lvlJc w:val="left"/>
      <w:pPr>
        <w:ind w:left="6480" w:hanging="360"/>
      </w:pPr>
      <w:rPr>
        <w:rFonts w:ascii="Wingdings" w:hAnsi="Wingdings" w:hint="default"/>
      </w:rPr>
    </w:lvl>
  </w:abstractNum>
  <w:abstractNum w:abstractNumId="9" w15:restartNumberingAfterBreak="0">
    <w:nsid w:val="718370A9"/>
    <w:multiLevelType w:val="hybridMultilevel"/>
    <w:tmpl w:val="8AB60942"/>
    <w:lvl w:ilvl="0" w:tplc="E912147A">
      <w:start w:val="1"/>
      <w:numFmt w:val="bullet"/>
      <w:lvlText w:val=""/>
      <w:lvlJc w:val="left"/>
      <w:pPr>
        <w:ind w:left="720" w:hanging="360"/>
      </w:pPr>
      <w:rPr>
        <w:rFonts w:ascii="Symbol" w:hAnsi="Symbol" w:hint="default"/>
      </w:rPr>
    </w:lvl>
    <w:lvl w:ilvl="1" w:tplc="125E21F4" w:tentative="1">
      <w:start w:val="1"/>
      <w:numFmt w:val="bullet"/>
      <w:lvlText w:val="o"/>
      <w:lvlJc w:val="left"/>
      <w:pPr>
        <w:ind w:left="1440" w:hanging="360"/>
      </w:pPr>
      <w:rPr>
        <w:rFonts w:ascii="Courier New" w:hAnsi="Courier New" w:cs="Courier New" w:hint="default"/>
      </w:rPr>
    </w:lvl>
    <w:lvl w:ilvl="2" w:tplc="011875B2" w:tentative="1">
      <w:start w:val="1"/>
      <w:numFmt w:val="bullet"/>
      <w:lvlText w:val=""/>
      <w:lvlJc w:val="left"/>
      <w:pPr>
        <w:ind w:left="2160" w:hanging="360"/>
      </w:pPr>
      <w:rPr>
        <w:rFonts w:ascii="Wingdings" w:hAnsi="Wingdings" w:hint="default"/>
      </w:rPr>
    </w:lvl>
    <w:lvl w:ilvl="3" w:tplc="D3BEC5E8" w:tentative="1">
      <w:start w:val="1"/>
      <w:numFmt w:val="bullet"/>
      <w:lvlText w:val=""/>
      <w:lvlJc w:val="left"/>
      <w:pPr>
        <w:ind w:left="2880" w:hanging="360"/>
      </w:pPr>
      <w:rPr>
        <w:rFonts w:ascii="Symbol" w:hAnsi="Symbol" w:hint="default"/>
      </w:rPr>
    </w:lvl>
    <w:lvl w:ilvl="4" w:tplc="D46CD6F0" w:tentative="1">
      <w:start w:val="1"/>
      <w:numFmt w:val="bullet"/>
      <w:lvlText w:val="o"/>
      <w:lvlJc w:val="left"/>
      <w:pPr>
        <w:ind w:left="3600" w:hanging="360"/>
      </w:pPr>
      <w:rPr>
        <w:rFonts w:ascii="Courier New" w:hAnsi="Courier New" w:cs="Courier New" w:hint="default"/>
      </w:rPr>
    </w:lvl>
    <w:lvl w:ilvl="5" w:tplc="59EAE012" w:tentative="1">
      <w:start w:val="1"/>
      <w:numFmt w:val="bullet"/>
      <w:lvlText w:val=""/>
      <w:lvlJc w:val="left"/>
      <w:pPr>
        <w:ind w:left="4320" w:hanging="360"/>
      </w:pPr>
      <w:rPr>
        <w:rFonts w:ascii="Wingdings" w:hAnsi="Wingdings" w:hint="default"/>
      </w:rPr>
    </w:lvl>
    <w:lvl w:ilvl="6" w:tplc="B1604B82" w:tentative="1">
      <w:start w:val="1"/>
      <w:numFmt w:val="bullet"/>
      <w:lvlText w:val=""/>
      <w:lvlJc w:val="left"/>
      <w:pPr>
        <w:ind w:left="5040" w:hanging="360"/>
      </w:pPr>
      <w:rPr>
        <w:rFonts w:ascii="Symbol" w:hAnsi="Symbol" w:hint="default"/>
      </w:rPr>
    </w:lvl>
    <w:lvl w:ilvl="7" w:tplc="2ABA6BEC" w:tentative="1">
      <w:start w:val="1"/>
      <w:numFmt w:val="bullet"/>
      <w:lvlText w:val="o"/>
      <w:lvlJc w:val="left"/>
      <w:pPr>
        <w:ind w:left="5760" w:hanging="360"/>
      </w:pPr>
      <w:rPr>
        <w:rFonts w:ascii="Courier New" w:hAnsi="Courier New" w:cs="Courier New" w:hint="default"/>
      </w:rPr>
    </w:lvl>
    <w:lvl w:ilvl="8" w:tplc="BD0AA4D4" w:tentative="1">
      <w:start w:val="1"/>
      <w:numFmt w:val="bullet"/>
      <w:lvlText w:val=""/>
      <w:lvlJc w:val="left"/>
      <w:pPr>
        <w:ind w:left="6480" w:hanging="360"/>
      </w:pPr>
      <w:rPr>
        <w:rFonts w:ascii="Wingdings" w:hAnsi="Wingdings" w:hint="default"/>
      </w:rPr>
    </w:lvl>
  </w:abstractNum>
  <w:abstractNum w:abstractNumId="10" w15:restartNumberingAfterBreak="0">
    <w:nsid w:val="78C453E4"/>
    <w:multiLevelType w:val="hybridMultilevel"/>
    <w:tmpl w:val="3510191A"/>
    <w:lvl w:ilvl="0" w:tplc="9A38D564">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9"/>
  </w:num>
  <w:num w:numId="5">
    <w:abstractNumId w:val="10"/>
  </w:num>
  <w:num w:numId="6">
    <w:abstractNumId w:val="8"/>
  </w:num>
  <w:num w:numId="7">
    <w:abstractNumId w:val="0"/>
  </w:num>
  <w:num w:numId="8">
    <w:abstractNumId w:val="5"/>
  </w:num>
  <w:num w:numId="9">
    <w:abstractNumId w:val="1"/>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8282C"/>
    <w:rsid w:val="00094781"/>
    <w:rsid w:val="000A473D"/>
    <w:rsid w:val="000A4DF7"/>
    <w:rsid w:val="000D58EF"/>
    <w:rsid w:val="00145799"/>
    <w:rsid w:val="00184780"/>
    <w:rsid w:val="001B0292"/>
    <w:rsid w:val="001C2017"/>
    <w:rsid w:val="001E2CCE"/>
    <w:rsid w:val="0028282C"/>
    <w:rsid w:val="002A6BE0"/>
    <w:rsid w:val="002C1524"/>
    <w:rsid w:val="002D6A17"/>
    <w:rsid w:val="002F2DB5"/>
    <w:rsid w:val="00331427"/>
    <w:rsid w:val="00366894"/>
    <w:rsid w:val="003C3491"/>
    <w:rsid w:val="003D5D22"/>
    <w:rsid w:val="004338CD"/>
    <w:rsid w:val="004637E8"/>
    <w:rsid w:val="004E2BDB"/>
    <w:rsid w:val="005659B5"/>
    <w:rsid w:val="00595D42"/>
    <w:rsid w:val="005B1A83"/>
    <w:rsid w:val="00611A22"/>
    <w:rsid w:val="0062641F"/>
    <w:rsid w:val="00632C05"/>
    <w:rsid w:val="00670E4C"/>
    <w:rsid w:val="00703817"/>
    <w:rsid w:val="00767D44"/>
    <w:rsid w:val="007A5B92"/>
    <w:rsid w:val="007E3372"/>
    <w:rsid w:val="007F0ECC"/>
    <w:rsid w:val="007F5B08"/>
    <w:rsid w:val="008170B3"/>
    <w:rsid w:val="008359DD"/>
    <w:rsid w:val="008501D2"/>
    <w:rsid w:val="00861AEA"/>
    <w:rsid w:val="008A0501"/>
    <w:rsid w:val="008A503B"/>
    <w:rsid w:val="00926491"/>
    <w:rsid w:val="00953E10"/>
    <w:rsid w:val="009D0105"/>
    <w:rsid w:val="009E4745"/>
    <w:rsid w:val="00A32269"/>
    <w:rsid w:val="00A46253"/>
    <w:rsid w:val="00A64EE5"/>
    <w:rsid w:val="00A920EF"/>
    <w:rsid w:val="00B23072"/>
    <w:rsid w:val="00B54842"/>
    <w:rsid w:val="00B80942"/>
    <w:rsid w:val="00BC7E92"/>
    <w:rsid w:val="00BE6715"/>
    <w:rsid w:val="00BF5594"/>
    <w:rsid w:val="00C23485"/>
    <w:rsid w:val="00D77AF5"/>
    <w:rsid w:val="00D83706"/>
    <w:rsid w:val="00D9309B"/>
    <w:rsid w:val="00E859C2"/>
    <w:rsid w:val="00EC4474"/>
    <w:rsid w:val="00ED0720"/>
    <w:rsid w:val="00F50EE6"/>
    <w:rsid w:val="00F679FE"/>
    <w:rsid w:val="00F829FB"/>
    <w:rsid w:val="00FA1788"/>
    <w:rsid w:val="00FA7DDA"/>
    <w:rsid w:val="00FB2804"/>
    <w:rsid w:val="00FC5809"/>
    <w:rsid w:val="00FD71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40D8EA-C8FA-47B8-BBD5-1C7FB6211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DB5"/>
    <w:pPr>
      <w:shd w:val="solid" w:color="FFFFFF" w:fill="auto"/>
      <w:spacing w:after="0" w:line="240" w:lineRule="auto"/>
      <w:jc w:val="both"/>
    </w:pPr>
    <w:rPr>
      <w:rFonts w:ascii="Times New Roman" w:eastAsia="Times New Roman" w:hAnsi="Times New Roman" w:cs="Times New Roman"/>
      <w:color w:val="000000"/>
      <w:sz w:val="24"/>
      <w:szCs w:val="24"/>
      <w:shd w:val="solid" w:color="FFFFFF" w:fill="auto"/>
      <w:lang w:val="ru-RU" w:eastAsia="ru-RU"/>
    </w:rPr>
  </w:style>
  <w:style w:type="paragraph" w:styleId="Ttulo1">
    <w:name w:val="heading 1"/>
    <w:basedOn w:val="Normal"/>
    <w:next w:val="Normal"/>
    <w:link w:val="Ttulo1Car"/>
    <w:uiPriority w:val="9"/>
    <w:qFormat/>
    <w:rsid w:val="007E3372"/>
    <w:pPr>
      <w:keepNext/>
      <w:numPr>
        <w:numId w:val="2"/>
      </w:numPr>
      <w:spacing w:before="90" w:after="90"/>
      <w:ind w:right="90"/>
      <w:outlineLvl w:val="0"/>
    </w:pPr>
    <w:rPr>
      <w:b/>
      <w:bCs/>
      <w:kern w:val="32"/>
      <w:sz w:val="36"/>
      <w:szCs w:val="32"/>
    </w:rPr>
  </w:style>
  <w:style w:type="paragraph" w:styleId="Ttulo2">
    <w:name w:val="heading 2"/>
    <w:basedOn w:val="Normal"/>
    <w:next w:val="Normal"/>
    <w:link w:val="Ttulo2Car"/>
    <w:uiPriority w:val="9"/>
    <w:qFormat/>
    <w:rsid w:val="007E3372"/>
    <w:pPr>
      <w:keepNext/>
      <w:numPr>
        <w:ilvl w:val="1"/>
        <w:numId w:val="2"/>
      </w:numPr>
      <w:spacing w:before="90" w:after="90"/>
      <w:ind w:right="90"/>
      <w:outlineLvl w:val="1"/>
    </w:pPr>
    <w:rPr>
      <w:b/>
      <w:bCs/>
      <w:i/>
      <w:iCs/>
      <w:sz w:val="28"/>
      <w:szCs w:val="28"/>
    </w:rPr>
  </w:style>
  <w:style w:type="paragraph" w:styleId="Ttulo3">
    <w:name w:val="heading 3"/>
    <w:basedOn w:val="Normal"/>
    <w:next w:val="Normal"/>
    <w:link w:val="Ttulo3Car"/>
    <w:uiPriority w:val="9"/>
    <w:qFormat/>
    <w:rsid w:val="007E3372"/>
    <w:pPr>
      <w:keepNext/>
      <w:numPr>
        <w:ilvl w:val="2"/>
        <w:numId w:val="2"/>
      </w:numPr>
      <w:spacing w:before="90" w:after="90"/>
      <w:ind w:right="90"/>
      <w:outlineLvl w:val="2"/>
    </w:pPr>
    <w:rPr>
      <w:b/>
      <w:bCs/>
      <w:szCs w:val="26"/>
    </w:rPr>
  </w:style>
  <w:style w:type="paragraph" w:styleId="Ttulo4">
    <w:name w:val="heading 4"/>
    <w:basedOn w:val="Normal"/>
    <w:next w:val="Normal"/>
    <w:link w:val="Ttulo4Car"/>
    <w:uiPriority w:val="9"/>
    <w:qFormat/>
    <w:rsid w:val="007E3372"/>
    <w:pPr>
      <w:keepNext/>
      <w:numPr>
        <w:ilvl w:val="3"/>
        <w:numId w:val="2"/>
      </w:numPr>
      <w:spacing w:before="90" w:after="90"/>
      <w:ind w:right="90"/>
      <w:outlineLvl w:val="3"/>
    </w:pPr>
    <w:rPr>
      <w:b/>
      <w:bCs/>
      <w:sz w:val="20"/>
      <w:szCs w:val="28"/>
      <w:lang w:val="es-ES"/>
    </w:rPr>
  </w:style>
  <w:style w:type="paragraph" w:styleId="Ttulo5">
    <w:name w:val="heading 5"/>
    <w:basedOn w:val="Normal"/>
    <w:next w:val="Normal"/>
    <w:link w:val="Ttulo5Car"/>
    <w:uiPriority w:val="9"/>
    <w:qFormat/>
    <w:rsid w:val="007E3372"/>
    <w:pPr>
      <w:numPr>
        <w:ilvl w:val="4"/>
        <w:numId w:val="2"/>
      </w:numPr>
      <w:spacing w:before="90" w:after="90"/>
      <w:ind w:right="90"/>
      <w:outlineLvl w:val="4"/>
    </w:pPr>
    <w:rPr>
      <w:b/>
      <w:bCs/>
      <w:i/>
      <w:iCs/>
      <w:sz w:val="16"/>
      <w:szCs w:val="26"/>
    </w:rPr>
  </w:style>
  <w:style w:type="paragraph" w:styleId="Ttulo6">
    <w:name w:val="heading 6"/>
    <w:basedOn w:val="Normal"/>
    <w:next w:val="Normal"/>
    <w:link w:val="Ttulo6Car"/>
    <w:uiPriority w:val="9"/>
    <w:qFormat/>
    <w:rsid w:val="007E3372"/>
    <w:pPr>
      <w:numPr>
        <w:ilvl w:val="5"/>
        <w:numId w:val="2"/>
      </w:numPr>
      <w:spacing w:before="90" w:after="90"/>
      <w:ind w:right="90"/>
      <w:outlineLvl w:val="5"/>
    </w:pPr>
    <w:rPr>
      <w:b/>
      <w:bCs/>
      <w:sz w:val="16"/>
      <w:szCs w:val="22"/>
    </w:rPr>
  </w:style>
  <w:style w:type="paragraph" w:styleId="Ttulo7">
    <w:name w:val="heading 7"/>
    <w:basedOn w:val="Normal"/>
    <w:next w:val="Normal"/>
    <w:link w:val="Ttulo7Car"/>
    <w:uiPriority w:val="9"/>
    <w:unhideWhenUsed/>
    <w:qFormat/>
    <w:rsid w:val="007E3372"/>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7E3372"/>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7E3372"/>
    <w:pPr>
      <w:numPr>
        <w:ilvl w:val="8"/>
        <w:numId w:val="2"/>
      </w:num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282C"/>
    <w:pPr>
      <w:tabs>
        <w:tab w:val="center" w:pos="4419"/>
        <w:tab w:val="right" w:pos="8838"/>
      </w:tabs>
    </w:pPr>
  </w:style>
  <w:style w:type="character" w:customStyle="1" w:styleId="EncabezadoCar">
    <w:name w:val="Encabezado Car"/>
    <w:basedOn w:val="Fuentedeprrafopredeter"/>
    <w:link w:val="Encabezado"/>
    <w:uiPriority w:val="99"/>
    <w:rsid w:val="0028282C"/>
  </w:style>
  <w:style w:type="paragraph" w:styleId="Piedepgina">
    <w:name w:val="footer"/>
    <w:basedOn w:val="Normal"/>
    <w:link w:val="PiedepginaCar"/>
    <w:uiPriority w:val="99"/>
    <w:unhideWhenUsed/>
    <w:rsid w:val="0028282C"/>
    <w:pPr>
      <w:tabs>
        <w:tab w:val="center" w:pos="4419"/>
        <w:tab w:val="right" w:pos="8838"/>
      </w:tabs>
    </w:pPr>
  </w:style>
  <w:style w:type="character" w:customStyle="1" w:styleId="PiedepginaCar">
    <w:name w:val="Pie de página Car"/>
    <w:basedOn w:val="Fuentedeprrafopredeter"/>
    <w:link w:val="Piedepgina"/>
    <w:uiPriority w:val="99"/>
    <w:rsid w:val="0028282C"/>
  </w:style>
  <w:style w:type="paragraph" w:styleId="Textodeglobo">
    <w:name w:val="Balloon Text"/>
    <w:basedOn w:val="Normal"/>
    <w:link w:val="TextodegloboCar"/>
    <w:uiPriority w:val="99"/>
    <w:semiHidden/>
    <w:unhideWhenUsed/>
    <w:rsid w:val="0028282C"/>
    <w:rPr>
      <w:rFonts w:ascii="Tahoma" w:hAnsi="Tahoma" w:cs="Tahoma"/>
      <w:sz w:val="16"/>
      <w:szCs w:val="16"/>
    </w:rPr>
  </w:style>
  <w:style w:type="character" w:customStyle="1" w:styleId="TextodegloboCar">
    <w:name w:val="Texto de globo Car"/>
    <w:basedOn w:val="Fuentedeprrafopredeter"/>
    <w:link w:val="Textodeglobo"/>
    <w:uiPriority w:val="99"/>
    <w:semiHidden/>
    <w:rsid w:val="0028282C"/>
    <w:rPr>
      <w:rFonts w:ascii="Tahoma" w:hAnsi="Tahoma" w:cs="Tahoma"/>
      <w:sz w:val="16"/>
      <w:szCs w:val="16"/>
    </w:rPr>
  </w:style>
  <w:style w:type="character" w:styleId="Hipervnculo">
    <w:name w:val="Hyperlink"/>
    <w:uiPriority w:val="99"/>
    <w:unhideWhenUsed/>
    <w:rsid w:val="002F2DB5"/>
    <w:rPr>
      <w:color w:val="0000FF"/>
      <w:u w:val="single"/>
    </w:rPr>
  </w:style>
  <w:style w:type="paragraph" w:styleId="NormalWeb">
    <w:name w:val="Normal (Web)"/>
    <w:basedOn w:val="Normal"/>
    <w:uiPriority w:val="99"/>
    <w:unhideWhenUsed/>
    <w:rsid w:val="002F2DB5"/>
    <w:pPr>
      <w:shd w:val="clear" w:color="auto" w:fill="auto"/>
      <w:spacing w:before="100" w:beforeAutospacing="1" w:after="100" w:afterAutospacing="1"/>
      <w:jc w:val="left"/>
    </w:pPr>
    <w:rPr>
      <w:color w:val="auto"/>
      <w:shd w:val="clear" w:color="auto" w:fill="auto"/>
      <w:lang w:val="es-MX" w:eastAsia="es-MX"/>
    </w:rPr>
  </w:style>
  <w:style w:type="character" w:customStyle="1" w:styleId="Ttulo1Car">
    <w:name w:val="Título 1 Car"/>
    <w:basedOn w:val="Fuentedeprrafopredeter"/>
    <w:link w:val="Ttulo1"/>
    <w:uiPriority w:val="9"/>
    <w:rsid w:val="007E3372"/>
    <w:rPr>
      <w:rFonts w:ascii="Times New Roman" w:eastAsia="Times New Roman" w:hAnsi="Times New Roman" w:cs="Times New Roman"/>
      <w:b/>
      <w:bCs/>
      <w:color w:val="000000"/>
      <w:kern w:val="32"/>
      <w:sz w:val="36"/>
      <w:szCs w:val="32"/>
      <w:shd w:val="solid" w:color="FFFFFF" w:fill="auto"/>
      <w:lang w:val="ru-RU" w:eastAsia="ru-RU"/>
    </w:rPr>
  </w:style>
  <w:style w:type="character" w:customStyle="1" w:styleId="Ttulo2Car">
    <w:name w:val="Título 2 Car"/>
    <w:basedOn w:val="Fuentedeprrafopredeter"/>
    <w:link w:val="Ttulo2"/>
    <w:uiPriority w:val="9"/>
    <w:rsid w:val="007E3372"/>
    <w:rPr>
      <w:rFonts w:ascii="Times New Roman" w:eastAsia="Times New Roman" w:hAnsi="Times New Roman" w:cs="Times New Roman"/>
      <w:b/>
      <w:bCs/>
      <w:i/>
      <w:iCs/>
      <w:color w:val="000000"/>
      <w:sz w:val="28"/>
      <w:szCs w:val="28"/>
      <w:shd w:val="solid" w:color="FFFFFF" w:fill="auto"/>
      <w:lang w:val="ru-RU" w:eastAsia="ru-RU"/>
    </w:rPr>
  </w:style>
  <w:style w:type="character" w:customStyle="1" w:styleId="Ttulo3Car">
    <w:name w:val="Título 3 Car"/>
    <w:basedOn w:val="Fuentedeprrafopredeter"/>
    <w:link w:val="Ttulo3"/>
    <w:uiPriority w:val="9"/>
    <w:rsid w:val="007E3372"/>
    <w:rPr>
      <w:rFonts w:ascii="Times New Roman" w:eastAsia="Times New Roman" w:hAnsi="Times New Roman" w:cs="Times New Roman"/>
      <w:b/>
      <w:bCs/>
      <w:color w:val="000000"/>
      <w:sz w:val="24"/>
      <w:szCs w:val="26"/>
      <w:shd w:val="solid" w:color="FFFFFF" w:fill="auto"/>
      <w:lang w:val="ru-RU" w:eastAsia="ru-RU"/>
    </w:rPr>
  </w:style>
  <w:style w:type="character" w:customStyle="1" w:styleId="Ttulo4Car">
    <w:name w:val="Título 4 Car"/>
    <w:basedOn w:val="Fuentedeprrafopredeter"/>
    <w:link w:val="Ttulo4"/>
    <w:uiPriority w:val="9"/>
    <w:rsid w:val="007E3372"/>
    <w:rPr>
      <w:rFonts w:ascii="Times New Roman" w:eastAsia="Times New Roman" w:hAnsi="Times New Roman" w:cs="Times New Roman"/>
      <w:b/>
      <w:bCs/>
      <w:color w:val="000000"/>
      <w:sz w:val="20"/>
      <w:szCs w:val="28"/>
      <w:shd w:val="solid" w:color="FFFFFF" w:fill="auto"/>
      <w:lang w:val="es-ES" w:eastAsia="ru-RU"/>
    </w:rPr>
  </w:style>
  <w:style w:type="character" w:customStyle="1" w:styleId="Ttulo5Car">
    <w:name w:val="Título 5 Car"/>
    <w:basedOn w:val="Fuentedeprrafopredeter"/>
    <w:link w:val="Ttulo5"/>
    <w:uiPriority w:val="9"/>
    <w:rsid w:val="007E3372"/>
    <w:rPr>
      <w:rFonts w:ascii="Times New Roman" w:eastAsia="Times New Roman" w:hAnsi="Times New Roman" w:cs="Times New Roman"/>
      <w:b/>
      <w:bCs/>
      <w:i/>
      <w:iCs/>
      <w:color w:val="000000"/>
      <w:sz w:val="16"/>
      <w:szCs w:val="26"/>
      <w:shd w:val="solid" w:color="FFFFFF" w:fill="auto"/>
      <w:lang w:val="ru-RU" w:eastAsia="ru-RU"/>
    </w:rPr>
  </w:style>
  <w:style w:type="character" w:customStyle="1" w:styleId="Ttulo6Car">
    <w:name w:val="Título 6 Car"/>
    <w:basedOn w:val="Fuentedeprrafopredeter"/>
    <w:link w:val="Ttulo6"/>
    <w:uiPriority w:val="9"/>
    <w:rsid w:val="007E3372"/>
    <w:rPr>
      <w:rFonts w:ascii="Times New Roman" w:eastAsia="Times New Roman" w:hAnsi="Times New Roman" w:cs="Times New Roman"/>
      <w:b/>
      <w:bCs/>
      <w:color w:val="000000"/>
      <w:sz w:val="16"/>
      <w:shd w:val="solid" w:color="FFFFFF" w:fill="auto"/>
      <w:lang w:val="ru-RU" w:eastAsia="ru-RU"/>
    </w:rPr>
  </w:style>
  <w:style w:type="character" w:customStyle="1" w:styleId="Ttulo7Car">
    <w:name w:val="Título 7 Car"/>
    <w:basedOn w:val="Fuentedeprrafopredeter"/>
    <w:link w:val="Ttulo7"/>
    <w:uiPriority w:val="9"/>
    <w:rsid w:val="007E3372"/>
    <w:rPr>
      <w:rFonts w:ascii="Calibri" w:eastAsia="Times New Roman" w:hAnsi="Calibri" w:cs="Times New Roman"/>
      <w:color w:val="000000"/>
      <w:sz w:val="24"/>
      <w:szCs w:val="24"/>
      <w:shd w:val="solid" w:color="FFFFFF" w:fill="auto"/>
      <w:lang w:val="ru-RU" w:eastAsia="ru-RU"/>
    </w:rPr>
  </w:style>
  <w:style w:type="character" w:customStyle="1" w:styleId="Ttulo8Car">
    <w:name w:val="Título 8 Car"/>
    <w:basedOn w:val="Fuentedeprrafopredeter"/>
    <w:link w:val="Ttulo8"/>
    <w:uiPriority w:val="9"/>
    <w:rsid w:val="007E3372"/>
    <w:rPr>
      <w:rFonts w:ascii="Calibri" w:eastAsia="Times New Roman" w:hAnsi="Calibri" w:cs="Times New Roman"/>
      <w:i/>
      <w:iCs/>
      <w:color w:val="000000"/>
      <w:sz w:val="24"/>
      <w:szCs w:val="24"/>
      <w:shd w:val="solid" w:color="FFFFFF" w:fill="auto"/>
      <w:lang w:val="ru-RU" w:eastAsia="ru-RU"/>
    </w:rPr>
  </w:style>
  <w:style w:type="character" w:customStyle="1" w:styleId="Ttulo9Car">
    <w:name w:val="Título 9 Car"/>
    <w:basedOn w:val="Fuentedeprrafopredeter"/>
    <w:link w:val="Ttulo9"/>
    <w:uiPriority w:val="9"/>
    <w:rsid w:val="007E3372"/>
    <w:rPr>
      <w:rFonts w:ascii="Cambria" w:eastAsia="Times New Roman" w:hAnsi="Cambria" w:cs="Times New Roman"/>
      <w:color w:val="000000"/>
      <w:shd w:val="solid" w:color="FFFFFF" w:fill="auto"/>
      <w:lang w:val="ru-RU" w:eastAsia="ru-RU"/>
    </w:rPr>
  </w:style>
  <w:style w:type="paragraph" w:styleId="Bibliografa">
    <w:name w:val="Bibliography"/>
    <w:basedOn w:val="Normal"/>
    <w:next w:val="Normal"/>
    <w:uiPriority w:val="37"/>
    <w:unhideWhenUsed/>
    <w:rsid w:val="000A4DF7"/>
  </w:style>
  <w:style w:type="paragraph" w:customStyle="1" w:styleId="Default">
    <w:name w:val="Default"/>
    <w:uiPriority w:val="99"/>
    <w:rsid w:val="000A4DF7"/>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Sinespaciado">
    <w:name w:val="No Spacing"/>
    <w:link w:val="SinespaciadoCar"/>
    <w:uiPriority w:val="99"/>
    <w:qFormat/>
    <w:rsid w:val="000A4DF7"/>
    <w:pPr>
      <w:spacing w:after="0" w:line="240" w:lineRule="auto"/>
    </w:pPr>
    <w:rPr>
      <w:rFonts w:ascii="Calibri" w:eastAsia="Calibri" w:hAnsi="Calibri" w:cs="Times New Roman"/>
      <w:lang w:eastAsia="es-MX"/>
    </w:rPr>
  </w:style>
  <w:style w:type="character" w:customStyle="1" w:styleId="SinespaciadoCar">
    <w:name w:val="Sin espaciado Car"/>
    <w:basedOn w:val="Fuentedeprrafopredeter"/>
    <w:link w:val="Sinespaciado"/>
    <w:uiPriority w:val="99"/>
    <w:rsid w:val="000A4DF7"/>
    <w:rPr>
      <w:rFonts w:ascii="Calibri" w:eastAsia="Calibri" w:hAnsi="Calibri" w:cs="Times New Roman"/>
      <w:lang w:eastAsia="es-MX"/>
    </w:rPr>
  </w:style>
  <w:style w:type="paragraph" w:styleId="Textonotapie">
    <w:name w:val="footnote text"/>
    <w:basedOn w:val="Normal"/>
    <w:link w:val="TextonotapieCar"/>
    <w:unhideWhenUsed/>
    <w:rsid w:val="004637E8"/>
    <w:rPr>
      <w:sz w:val="20"/>
      <w:szCs w:val="20"/>
    </w:rPr>
  </w:style>
  <w:style w:type="character" w:customStyle="1" w:styleId="TextonotapieCar">
    <w:name w:val="Texto nota pie Car"/>
    <w:basedOn w:val="Fuentedeprrafopredeter"/>
    <w:link w:val="Textonotapie"/>
    <w:rsid w:val="004637E8"/>
    <w:rPr>
      <w:rFonts w:ascii="Times New Roman" w:eastAsia="Times New Roman" w:hAnsi="Times New Roman" w:cs="Times New Roman"/>
      <w:color w:val="000000"/>
      <w:sz w:val="20"/>
      <w:szCs w:val="20"/>
      <w:shd w:val="solid" w:color="FFFFFF" w:fill="auto"/>
      <w:lang w:val="ru-RU" w:eastAsia="ru-RU"/>
    </w:rPr>
  </w:style>
  <w:style w:type="paragraph" w:styleId="Prrafodelista">
    <w:name w:val="List Paragraph"/>
    <w:basedOn w:val="Normal"/>
    <w:link w:val="PrrafodelistaCar"/>
    <w:uiPriority w:val="34"/>
    <w:qFormat/>
    <w:rsid w:val="004637E8"/>
    <w:pPr>
      <w:shd w:val="clear" w:color="auto" w:fill="auto"/>
      <w:spacing w:after="200" w:line="276" w:lineRule="auto"/>
      <w:ind w:left="720"/>
      <w:contextualSpacing/>
      <w:jc w:val="left"/>
    </w:pPr>
    <w:rPr>
      <w:rFonts w:ascii="Calibri" w:eastAsia="Calibri" w:hAnsi="Calibri"/>
      <w:color w:val="auto"/>
      <w:sz w:val="22"/>
      <w:szCs w:val="22"/>
      <w:shd w:val="clear" w:color="auto" w:fill="auto"/>
      <w:lang w:val="es-ES" w:eastAsia="en-US"/>
    </w:rPr>
  </w:style>
  <w:style w:type="character" w:styleId="Refdenotaalpie">
    <w:name w:val="footnote reference"/>
    <w:basedOn w:val="Fuentedeprrafopredeter"/>
    <w:uiPriority w:val="99"/>
    <w:rsid w:val="004637E8"/>
    <w:rPr>
      <w:vertAlign w:val="superscript"/>
    </w:rPr>
  </w:style>
  <w:style w:type="paragraph" w:customStyle="1" w:styleId="paragraph">
    <w:name w:val="paragraph"/>
    <w:basedOn w:val="Normal"/>
    <w:rsid w:val="004637E8"/>
    <w:pPr>
      <w:shd w:val="clear" w:color="auto" w:fill="auto"/>
      <w:spacing w:before="100" w:beforeAutospacing="1" w:after="100" w:afterAutospacing="1"/>
      <w:jc w:val="left"/>
    </w:pPr>
    <w:rPr>
      <w:color w:val="auto"/>
      <w:shd w:val="clear" w:color="auto" w:fill="auto"/>
      <w:lang w:val="es-MX" w:eastAsia="es-MX"/>
    </w:rPr>
  </w:style>
  <w:style w:type="character" w:customStyle="1" w:styleId="textrun">
    <w:name w:val="textrun"/>
    <w:basedOn w:val="Fuentedeprrafopredeter"/>
    <w:rsid w:val="004637E8"/>
  </w:style>
  <w:style w:type="character" w:customStyle="1" w:styleId="eop">
    <w:name w:val="eop"/>
    <w:basedOn w:val="Fuentedeprrafopredeter"/>
    <w:rsid w:val="004637E8"/>
  </w:style>
  <w:style w:type="character" w:customStyle="1" w:styleId="PrrafodelistaCar">
    <w:name w:val="Párrafo de lista Car"/>
    <w:basedOn w:val="Fuentedeprrafopredeter"/>
    <w:link w:val="Prrafodelista"/>
    <w:uiPriority w:val="34"/>
    <w:rsid w:val="004637E8"/>
    <w:rPr>
      <w:rFonts w:ascii="Calibri" w:eastAsia="Calibri" w:hAnsi="Calibri" w:cs="Times New Roman"/>
      <w:lang w:val="es-ES"/>
    </w:rPr>
  </w:style>
  <w:style w:type="character" w:styleId="Textoennegrita">
    <w:name w:val="Strong"/>
    <w:uiPriority w:val="22"/>
    <w:qFormat/>
    <w:rsid w:val="008359DD"/>
    <w:rPr>
      <w:b/>
      <w:bCs/>
    </w:rPr>
  </w:style>
  <w:style w:type="character" w:styleId="nfasis">
    <w:name w:val="Emphasis"/>
    <w:uiPriority w:val="20"/>
    <w:qFormat/>
    <w:rsid w:val="008359DD"/>
    <w:rPr>
      <w:i/>
      <w:iCs/>
    </w:rPr>
  </w:style>
  <w:style w:type="paragraph" w:customStyle="1" w:styleId="localizacion">
    <w:name w:val="localizacion"/>
    <w:basedOn w:val="Normal"/>
    <w:rsid w:val="008359DD"/>
    <w:pPr>
      <w:shd w:val="clear" w:color="auto" w:fill="auto"/>
      <w:spacing w:before="100" w:beforeAutospacing="1" w:after="100" w:afterAutospacing="1"/>
      <w:jc w:val="left"/>
    </w:pPr>
    <w:rPr>
      <w:color w:val="auto"/>
      <w:shd w:val="clear" w:color="auto" w:fill="auto"/>
      <w:lang w:val="es-ES_tradnl" w:eastAsia="es-ES_tradnl"/>
    </w:rPr>
  </w:style>
  <w:style w:type="paragraph" w:customStyle="1" w:styleId="titulo">
    <w:name w:val="titulo"/>
    <w:basedOn w:val="Normal"/>
    <w:rsid w:val="008359DD"/>
    <w:pPr>
      <w:shd w:val="clear" w:color="auto" w:fill="auto"/>
      <w:spacing w:before="100" w:beforeAutospacing="1" w:after="100" w:afterAutospacing="1"/>
      <w:jc w:val="left"/>
    </w:pPr>
    <w:rPr>
      <w:color w:val="auto"/>
      <w:shd w:val="clear" w:color="auto" w:fill="auto"/>
      <w:lang w:val="es-ES_tradnl" w:eastAsia="es-ES_tradnl"/>
    </w:rPr>
  </w:style>
  <w:style w:type="character" w:customStyle="1" w:styleId="titulo1">
    <w:name w:val="titulo1"/>
    <w:basedOn w:val="Fuentedeprrafopredeter"/>
    <w:rsid w:val="008359DD"/>
  </w:style>
  <w:style w:type="character" w:customStyle="1" w:styleId="separador">
    <w:name w:val="separador"/>
    <w:basedOn w:val="Fuentedeprrafopredeter"/>
    <w:rsid w:val="008359DD"/>
  </w:style>
  <w:style w:type="character" w:customStyle="1" w:styleId="subtitulo">
    <w:name w:val="subtitulo"/>
    <w:basedOn w:val="Fuentedeprrafopredeter"/>
    <w:rsid w:val="008359DD"/>
  </w:style>
  <w:style w:type="character" w:styleId="AcrnimoHTML">
    <w:name w:val="HTML Acronym"/>
    <w:basedOn w:val="Fuentedeprrafopredeter"/>
    <w:rsid w:val="00835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892986">
      <w:bodyDiv w:val="1"/>
      <w:marLeft w:val="0"/>
      <w:marRight w:val="0"/>
      <w:marTop w:val="0"/>
      <w:marBottom w:val="0"/>
      <w:divBdr>
        <w:top w:val="none" w:sz="0" w:space="0" w:color="auto"/>
        <w:left w:val="none" w:sz="0" w:space="0" w:color="auto"/>
        <w:bottom w:val="none" w:sz="0" w:space="0" w:color="auto"/>
        <w:right w:val="none" w:sz="0" w:space="0" w:color="auto"/>
      </w:divBdr>
    </w:div>
    <w:div w:id="211651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3D5EE-94C1-429C-9ED6-E5E79D5AC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5545</Words>
  <Characters>30499</Characters>
  <Application>Microsoft Office Word</Application>
  <DocSecurity>0</DocSecurity>
  <Lines>254</Lines>
  <Paragraphs>71</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35973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FRANCISCO</cp:lastModifiedBy>
  <cp:revision>3</cp:revision>
  <dcterms:created xsi:type="dcterms:W3CDTF">2016-10-11T21:41:00Z</dcterms:created>
  <dcterms:modified xsi:type="dcterms:W3CDTF">2016-11-19T18:54:00Z</dcterms:modified>
</cp:coreProperties>
</file>