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14E3F" w14:textId="77777777" w:rsidR="00A27D89" w:rsidRDefault="00A27D89" w:rsidP="00A27D89">
      <w:pPr>
        <w:tabs>
          <w:tab w:val="left" w:pos="3390"/>
        </w:tabs>
        <w:jc w:val="right"/>
        <w:rPr>
          <w:b/>
          <w:bCs/>
          <w:i/>
          <w:iCs/>
        </w:rPr>
      </w:pPr>
      <w:r w:rsidRPr="00F052B3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375F9A6" wp14:editId="219D4DCD">
            <wp:simplePos x="0" y="0"/>
            <wp:positionH relativeFrom="page">
              <wp:align>left</wp:align>
            </wp:positionH>
            <wp:positionV relativeFrom="margin">
              <wp:posOffset>-795655</wp:posOffset>
            </wp:positionV>
            <wp:extent cx="8063865" cy="1419225"/>
            <wp:effectExtent l="0" t="0" r="0" b="9525"/>
            <wp:wrapSquare wrapText="bothSides"/>
            <wp:docPr id="12253749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86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391D0" w14:textId="1DA693F7" w:rsidR="00A27D89" w:rsidRPr="0073619D" w:rsidRDefault="00A27D89" w:rsidP="00A27D89">
      <w:pPr>
        <w:tabs>
          <w:tab w:val="left" w:pos="3390"/>
        </w:tabs>
        <w:jc w:val="right"/>
        <w:rPr>
          <w:b/>
          <w:bCs/>
          <w:i/>
          <w:iCs/>
        </w:rPr>
      </w:pPr>
      <w:r w:rsidRPr="0073619D">
        <w:rPr>
          <w:b/>
          <w:bCs/>
          <w:i/>
          <w:iCs/>
        </w:rPr>
        <w:t>Artículos</w:t>
      </w:r>
      <w:r w:rsidR="00F47ACD">
        <w:rPr>
          <w:b/>
          <w:bCs/>
          <w:i/>
          <w:iCs/>
        </w:rPr>
        <w:t xml:space="preserve"> </w:t>
      </w:r>
      <w:r w:rsidRPr="0073619D">
        <w:rPr>
          <w:b/>
          <w:bCs/>
          <w:i/>
          <w:iCs/>
        </w:rPr>
        <w:t>científicos</w:t>
      </w:r>
    </w:p>
    <w:p w14:paraId="55ADF21E" w14:textId="5C01B532" w:rsidR="000F4074" w:rsidRPr="000F4074" w:rsidRDefault="000F4074" w:rsidP="008D04C3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es-MX"/>
        </w:rPr>
      </w:pP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La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divulgación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científica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en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la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práctica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docente.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Reflexiones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sobre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la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investigación–acción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como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ruta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8"/>
          <w:szCs w:val="28"/>
          <w:lang w:val="es-ES" w:eastAsia="es-MX"/>
        </w:rPr>
        <w:t>metodológica</w:t>
      </w:r>
      <w:r w:rsidR="00F47ACD">
        <w:rPr>
          <w:rFonts w:eastAsia="Times New Roman" w:cstheme="minorHAnsi"/>
          <w:b/>
          <w:bCs/>
          <w:sz w:val="28"/>
          <w:szCs w:val="28"/>
          <w:lang w:val="es-ES" w:eastAsia="es-MX"/>
        </w:rPr>
        <w:t xml:space="preserve"> </w:t>
      </w:r>
      <w:r w:rsidR="00F47ACD">
        <w:rPr>
          <w:rFonts w:eastAsia="Times New Roman" w:cstheme="minorHAnsi"/>
          <w:sz w:val="28"/>
          <w:szCs w:val="28"/>
          <w:lang w:eastAsia="es-MX"/>
        </w:rPr>
        <w:t xml:space="preserve"> </w:t>
      </w:r>
    </w:p>
    <w:p w14:paraId="0D2E56D2" w14:textId="015FF4A8" w:rsidR="000F4074" w:rsidRPr="000F4074" w:rsidRDefault="000F4074" w:rsidP="008D04C3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Scientific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divulgation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teaching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practice</w:t>
      </w:r>
      <w:proofErr w:type="spellEnd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Reflections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as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methodological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approach</w:t>
      </w:r>
      <w:proofErr w:type="spellEnd"/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5C57BAC" w14:textId="4C36E639" w:rsidR="000F4074" w:rsidRPr="000F4074" w:rsidRDefault="00F47ACD" w:rsidP="000F4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DCE19A1" w14:textId="77777777" w:rsidR="000F404B" w:rsidRDefault="000F404B" w:rsidP="000F4074">
      <w:pPr>
        <w:spacing w:after="0" w:line="240" w:lineRule="auto"/>
        <w:jc w:val="right"/>
        <w:textAlignment w:val="baseline"/>
        <w:rPr>
          <w:rFonts w:eastAsia="Times New Roman" w:cstheme="minorHAnsi"/>
          <w:b/>
          <w:bCs/>
          <w:sz w:val="24"/>
          <w:szCs w:val="24"/>
          <w:lang w:val="es-ES" w:eastAsia="es-MX"/>
        </w:rPr>
      </w:pPr>
    </w:p>
    <w:p w14:paraId="442656F7" w14:textId="338EAB08" w:rsidR="000F4074" w:rsidRPr="000F4074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Julieta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López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Zamora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0DE327A3" w14:textId="31E20A37" w:rsidR="000F4074" w:rsidRPr="000F4074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Autónoma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Baja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California</w:t>
      </w:r>
    </w:p>
    <w:p w14:paraId="5E744CE3" w14:textId="15ED5586" w:rsidR="000F4074" w:rsidRPr="00CE3D17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color w:val="EE0000"/>
          <w:sz w:val="24"/>
          <w:szCs w:val="24"/>
          <w:lang w:eastAsia="es-MX"/>
        </w:rPr>
      </w:pPr>
      <w:r w:rsidRPr="00CE3D17">
        <w:rPr>
          <w:rFonts w:eastAsia="Times New Roman" w:cstheme="minorHAnsi"/>
          <w:color w:val="EE0000"/>
          <w:sz w:val="24"/>
          <w:szCs w:val="24"/>
          <w:lang w:val="es-ES" w:eastAsia="es-MX"/>
        </w:rPr>
        <w:t>julieta_lz@uabc.edu.mx</w:t>
      </w:r>
      <w:r w:rsidR="00F47ACD">
        <w:rPr>
          <w:rFonts w:eastAsia="Times New Roman" w:cstheme="minorHAnsi"/>
          <w:color w:val="EE0000"/>
          <w:sz w:val="24"/>
          <w:szCs w:val="24"/>
          <w:lang w:eastAsia="es-MX"/>
        </w:rPr>
        <w:t xml:space="preserve"> </w:t>
      </w:r>
    </w:p>
    <w:p w14:paraId="2EB694E8" w14:textId="2E9BCB81" w:rsidR="000F4074" w:rsidRPr="000F4074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https://orcid.org/0000-0001-7513-0852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D7B4619" w14:textId="19158906" w:rsidR="000F4074" w:rsidRPr="000F4074" w:rsidRDefault="00F47ACD" w:rsidP="000F4074">
      <w:pPr>
        <w:spacing w:after="0" w:line="240" w:lineRule="auto"/>
        <w:ind w:right="15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D3D014D" w14:textId="69C56C42" w:rsidR="000F4074" w:rsidRPr="000F4074" w:rsidRDefault="000F4074" w:rsidP="000F4074">
      <w:pPr>
        <w:spacing w:after="0" w:line="240" w:lineRule="auto"/>
        <w:ind w:right="15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Luis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Alejandro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Acevedo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Zapata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867C71B" w14:textId="110BE669" w:rsidR="000F4074" w:rsidRPr="000F4074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Autónoma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Baja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California</w:t>
      </w:r>
    </w:p>
    <w:p w14:paraId="204E3273" w14:textId="72C226CD" w:rsidR="000F4074" w:rsidRPr="00CE3D17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color w:val="EE0000"/>
          <w:sz w:val="24"/>
          <w:szCs w:val="24"/>
          <w:lang w:eastAsia="es-MX"/>
        </w:rPr>
      </w:pPr>
      <w:r w:rsidRPr="00CE3D17">
        <w:rPr>
          <w:rFonts w:eastAsia="Times New Roman" w:cstheme="minorHAnsi"/>
          <w:color w:val="EE0000"/>
          <w:sz w:val="24"/>
          <w:szCs w:val="24"/>
          <w:lang w:val="es-ES" w:eastAsia="es-MX"/>
        </w:rPr>
        <w:t>luis.acevedo.zapata@uabc.edu.mx</w:t>
      </w:r>
      <w:r w:rsidR="00F47ACD">
        <w:rPr>
          <w:rFonts w:eastAsia="Times New Roman" w:cstheme="minorHAnsi"/>
          <w:color w:val="EE0000"/>
          <w:sz w:val="24"/>
          <w:szCs w:val="24"/>
          <w:lang w:eastAsia="es-MX"/>
        </w:rPr>
        <w:t xml:space="preserve"> </w:t>
      </w:r>
    </w:p>
    <w:p w14:paraId="72F21EDF" w14:textId="3FD3E3AB" w:rsidR="000F4074" w:rsidRPr="000F4074" w:rsidRDefault="000F4074" w:rsidP="000F4074">
      <w:pPr>
        <w:spacing w:after="0" w:line="240" w:lineRule="auto"/>
        <w:ind w:hanging="225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https://orcid.org/0000-0003-1773-7386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D973A96" w14:textId="255FE6EA" w:rsidR="000F4074" w:rsidRPr="000F4074" w:rsidRDefault="00F47ACD" w:rsidP="000F4074">
      <w:pPr>
        <w:spacing w:after="0" w:line="240" w:lineRule="auto"/>
        <w:ind w:right="15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DAF63C9" w14:textId="6A5F05C4" w:rsidR="000F4074" w:rsidRPr="000F4074" w:rsidRDefault="000F4074" w:rsidP="000F4074">
      <w:pPr>
        <w:spacing w:after="0" w:line="240" w:lineRule="auto"/>
        <w:ind w:right="15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Dennise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Islas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Cervantes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0C93E0F4" w14:textId="16FE3064" w:rsidR="000F4074" w:rsidRPr="000F4074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Autónoma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Baja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California</w:t>
      </w:r>
    </w:p>
    <w:p w14:paraId="20299655" w14:textId="04154B8D" w:rsidR="000F4074" w:rsidRPr="00CE3D17" w:rsidRDefault="00F47ACD" w:rsidP="000F4074">
      <w:pPr>
        <w:spacing w:after="0" w:line="240" w:lineRule="auto"/>
        <w:jc w:val="right"/>
        <w:textAlignment w:val="baseline"/>
        <w:rPr>
          <w:rFonts w:eastAsia="Times New Roman" w:cstheme="minorHAnsi"/>
          <w:color w:val="EE0000"/>
          <w:sz w:val="24"/>
          <w:szCs w:val="24"/>
          <w:lang w:eastAsia="es-MX"/>
        </w:rPr>
      </w:pPr>
      <w:r>
        <w:rPr>
          <w:rFonts w:eastAsia="Times New Roman" w:cstheme="minorHAnsi"/>
          <w:color w:val="EE0000"/>
          <w:sz w:val="24"/>
          <w:szCs w:val="24"/>
          <w:lang w:val="es-ES" w:eastAsia="es-MX"/>
        </w:rPr>
        <w:t xml:space="preserve">  </w:t>
      </w:r>
      <w:r w:rsidR="000F4074" w:rsidRPr="00CE3D17">
        <w:rPr>
          <w:rFonts w:eastAsia="Times New Roman" w:cstheme="minorHAnsi"/>
          <w:color w:val="EE0000"/>
          <w:sz w:val="24"/>
          <w:szCs w:val="24"/>
          <w:lang w:val="es-ES" w:eastAsia="es-MX"/>
        </w:rPr>
        <w:t>dislas@uabc.edu.mx</w:t>
      </w:r>
      <w:r>
        <w:rPr>
          <w:rFonts w:eastAsia="Times New Roman" w:cstheme="minorHAnsi"/>
          <w:color w:val="EE0000"/>
          <w:sz w:val="24"/>
          <w:szCs w:val="24"/>
          <w:lang w:eastAsia="es-MX"/>
        </w:rPr>
        <w:t xml:space="preserve"> </w:t>
      </w:r>
    </w:p>
    <w:p w14:paraId="7678FC5D" w14:textId="5DD28DC4" w:rsidR="000F4074" w:rsidRPr="000F4074" w:rsidRDefault="000F4074" w:rsidP="000F4074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https://orcid.org/0000-0002-0641-9254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A76728D" w14:textId="77777777" w:rsidR="000F4074" w:rsidRDefault="000F4074" w:rsidP="000F4074">
      <w:pPr>
        <w:spacing w:after="0" w:line="240" w:lineRule="auto"/>
        <w:ind w:left="5895" w:right="15"/>
        <w:jc w:val="right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4D153AF4" w14:textId="7C2B7737" w:rsidR="000F4074" w:rsidRPr="000F4074" w:rsidRDefault="000F4074" w:rsidP="000F4074">
      <w:pPr>
        <w:spacing w:after="0" w:line="240" w:lineRule="auto"/>
        <w:ind w:right="15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  <w:r>
        <w:rPr>
          <w:rFonts w:eastAsia="Times New Roman" w:cstheme="minorHAnsi"/>
          <w:b/>
          <w:bCs/>
          <w:sz w:val="24"/>
          <w:szCs w:val="24"/>
          <w:lang w:val="es-ES" w:eastAsia="es-MX"/>
        </w:rPr>
        <w:t>R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esumen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7993FE2" w14:textId="12FDFF9A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Este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texto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presenta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hallazgos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Lengua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Literatura,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Autónoma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Baja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California,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realizaron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necesidad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documentar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dichas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través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tener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acercamiento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extracurriculares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instituciones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distintos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niveles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donde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construyó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colectivo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listado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tejen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grupo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relación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territorio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escuelas)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hizo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visibles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emergentes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buenas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primer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momento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presentan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hallazgos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internacionales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nacionales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apoyan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método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investigación–acción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(IA)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ponen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énfasis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escolares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segundo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momento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aborda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proceso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D34A2F5" w14:textId="12911388" w:rsidR="000F4074" w:rsidRPr="000F4074" w:rsidRDefault="00F47ACD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75C7362" w14:textId="2A1F29D9" w:rsidR="000F4074" w:rsidRDefault="000F4074" w:rsidP="000F4074">
      <w:pPr>
        <w:spacing w:after="0" w:line="240" w:lineRule="auto"/>
        <w:ind w:right="49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Palabras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clave</w:t>
      </w:r>
      <w:r>
        <w:rPr>
          <w:rFonts w:eastAsia="Times New Roman" w:cstheme="minorHAnsi"/>
          <w:b/>
          <w:bCs/>
          <w:sz w:val="24"/>
          <w:szCs w:val="24"/>
          <w:lang w:val="es-ES" w:eastAsia="es-MX"/>
        </w:rPr>
        <w:t>: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Investigación–acción</w:t>
      </w:r>
      <w:r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MX"/>
        </w:rPr>
        <w:t>profesional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MX"/>
        </w:rPr>
        <w:t>docente,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val="es-ES" w:eastAsia="es-MX"/>
        </w:rPr>
        <w:t>científica,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metodologías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participativas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DB3AD98" w14:textId="77777777" w:rsidR="00CE3D17" w:rsidRDefault="00CE3D17" w:rsidP="000F4074">
      <w:pPr>
        <w:spacing w:after="0" w:line="240" w:lineRule="auto"/>
        <w:ind w:right="49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30A355E1" w14:textId="77777777" w:rsidR="00CE3D17" w:rsidRDefault="00CE3D17" w:rsidP="000F4074">
      <w:pPr>
        <w:spacing w:after="0" w:line="240" w:lineRule="auto"/>
        <w:ind w:right="49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2101CBEF" w14:textId="77777777" w:rsidR="00EF1EA4" w:rsidRPr="000F4074" w:rsidRDefault="00EF1EA4" w:rsidP="000F4074">
      <w:pPr>
        <w:spacing w:after="0" w:line="240" w:lineRule="auto"/>
        <w:ind w:right="49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40C36366" w14:textId="7A3D5736" w:rsidR="000F4074" w:rsidRPr="000F4074" w:rsidRDefault="00F47ACD" w:rsidP="000F4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lastRenderedPageBreak/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5EE1B7A" w14:textId="77777777" w:rsidR="00F47ACD" w:rsidRDefault="000F4074" w:rsidP="00F47ACD">
      <w:pPr>
        <w:rPr>
          <w:b/>
          <w:sz w:val="24"/>
          <w:szCs w:val="24"/>
        </w:rPr>
      </w:pPr>
      <w:proofErr w:type="spellStart"/>
      <w:r w:rsidRPr="00F47ACD">
        <w:rPr>
          <w:b/>
          <w:sz w:val="24"/>
          <w:szCs w:val="24"/>
        </w:rPr>
        <w:t>Abstract</w:t>
      </w:r>
      <w:proofErr w:type="spellEnd"/>
    </w:p>
    <w:p w14:paraId="0C64591C" w14:textId="5AA0F6ED" w:rsidR="000F4074" w:rsidRDefault="000F4074" w:rsidP="00F47ACD">
      <w:pPr>
        <w:spacing w:after="0"/>
        <w:jc w:val="both"/>
        <w:rPr>
          <w:sz w:val="24"/>
          <w:szCs w:val="24"/>
        </w:rPr>
      </w:pPr>
      <w:proofErr w:type="spellStart"/>
      <w:r w:rsidRPr="00F47ACD">
        <w:rPr>
          <w:sz w:val="24"/>
          <w:szCs w:val="24"/>
        </w:rPr>
        <w:t>This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text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presents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findings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on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dissemination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experiences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of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Language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and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Literature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Teaching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students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from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Autonomous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University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of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Baja</w:t>
      </w:r>
      <w:r w:rsidR="00F47ACD" w:rsidRPr="00F47ACD">
        <w:rPr>
          <w:sz w:val="24"/>
          <w:szCs w:val="24"/>
        </w:rPr>
        <w:t xml:space="preserve"> C</w:t>
      </w:r>
      <w:r w:rsidRPr="00F47ACD">
        <w:rPr>
          <w:sz w:val="24"/>
          <w:szCs w:val="24"/>
        </w:rPr>
        <w:t>alifornia.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These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students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conducted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research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during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their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professional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teaching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practice</w:t>
      </w:r>
      <w:proofErr w:type="spellEnd"/>
      <w:r w:rsidRPr="00F47ACD">
        <w:rPr>
          <w:sz w:val="24"/>
          <w:szCs w:val="24"/>
        </w:rPr>
        <w:t>.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It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is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important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to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document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these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experiences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through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social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mapping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to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better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understand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extracurricular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practices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in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educational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institutions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at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different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levels</w:t>
      </w:r>
      <w:proofErr w:type="spellEnd"/>
      <w:r w:rsidRPr="00F47ACD">
        <w:rPr>
          <w:sz w:val="24"/>
          <w:szCs w:val="24"/>
        </w:rPr>
        <w:t>.</w:t>
      </w:r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collective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list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of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categories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of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practices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woven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as</w:t>
      </w:r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</w:t>
      </w:r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social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group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in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relation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to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their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territory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(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schools</w:t>
      </w:r>
      <w:proofErr w:type="spellEnd"/>
      <w:r w:rsidRPr="00F47ACD">
        <w:rPr>
          <w:sz w:val="24"/>
          <w:szCs w:val="24"/>
        </w:rPr>
        <w:t>)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was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constructed</w:t>
      </w:r>
      <w:proofErr w:type="spellEnd"/>
      <w:r w:rsidRPr="00F47ACD">
        <w:rPr>
          <w:sz w:val="24"/>
          <w:szCs w:val="24"/>
        </w:rPr>
        <w:t>,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which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made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visible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emerging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categories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of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good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and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bad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practices</w:t>
      </w:r>
      <w:proofErr w:type="spellEnd"/>
      <w:r w:rsidRPr="00F47ACD">
        <w:rPr>
          <w:sz w:val="24"/>
          <w:szCs w:val="24"/>
        </w:rPr>
        <w:t>.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First</w:t>
      </w:r>
      <w:proofErr w:type="spellEnd"/>
      <w:r w:rsidRPr="00F47ACD">
        <w:rPr>
          <w:sz w:val="24"/>
          <w:szCs w:val="24"/>
        </w:rPr>
        <w:t>,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paper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discusses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findings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from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international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and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national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research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that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use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action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research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method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and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focus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on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dissemination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in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school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settings</w:t>
      </w:r>
      <w:proofErr w:type="spellEnd"/>
      <w:r w:rsidR="00EF1EA4" w:rsidRPr="00F47ACD">
        <w:rPr>
          <w:sz w:val="24"/>
          <w:szCs w:val="24"/>
        </w:rPr>
        <w:t>.</w:t>
      </w:r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In</w:t>
      </w:r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a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second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moment</w:t>
      </w:r>
      <w:proofErr w:type="spellEnd"/>
      <w:r w:rsidRPr="00F47ACD">
        <w:rPr>
          <w:sz w:val="24"/>
          <w:szCs w:val="24"/>
        </w:rPr>
        <w:t>,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it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presents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categization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process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from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the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perspective</w:t>
      </w:r>
      <w:proofErr w:type="spellEnd"/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of</w:t>
      </w:r>
      <w:proofErr w:type="spellEnd"/>
      <w:r w:rsidR="00F47ACD" w:rsidRPr="00F47ACD">
        <w:rPr>
          <w:sz w:val="24"/>
          <w:szCs w:val="24"/>
        </w:rPr>
        <w:t xml:space="preserve"> </w:t>
      </w:r>
      <w:r w:rsidRPr="00F47ACD">
        <w:rPr>
          <w:sz w:val="24"/>
          <w:szCs w:val="24"/>
        </w:rPr>
        <w:t>social</w:t>
      </w:r>
      <w:r w:rsidR="00F47ACD" w:rsidRPr="00F47ACD">
        <w:rPr>
          <w:sz w:val="24"/>
          <w:szCs w:val="24"/>
        </w:rPr>
        <w:t xml:space="preserve"> </w:t>
      </w:r>
      <w:proofErr w:type="spellStart"/>
      <w:r w:rsidRPr="00F47ACD">
        <w:rPr>
          <w:sz w:val="24"/>
          <w:szCs w:val="24"/>
        </w:rPr>
        <w:t>cartography</w:t>
      </w:r>
      <w:proofErr w:type="spellEnd"/>
      <w:r w:rsidRPr="00F47ACD">
        <w:rPr>
          <w:sz w:val="24"/>
          <w:szCs w:val="24"/>
        </w:rPr>
        <w:t>.</w:t>
      </w:r>
      <w:r w:rsidR="00F47ACD" w:rsidRPr="00F47ACD">
        <w:rPr>
          <w:sz w:val="24"/>
          <w:szCs w:val="24"/>
        </w:rPr>
        <w:t xml:space="preserve"> </w:t>
      </w:r>
    </w:p>
    <w:p w14:paraId="3A0B2E88" w14:textId="77777777" w:rsidR="00F47ACD" w:rsidRPr="00F47ACD" w:rsidRDefault="00F47ACD" w:rsidP="00F47ACD">
      <w:pPr>
        <w:spacing w:after="0"/>
        <w:jc w:val="both"/>
        <w:rPr>
          <w:sz w:val="24"/>
          <w:szCs w:val="24"/>
        </w:rPr>
      </w:pPr>
    </w:p>
    <w:p w14:paraId="2C1E88F3" w14:textId="25DAE5C0" w:rsidR="000F4074" w:rsidRPr="00F47ACD" w:rsidRDefault="00F47ACD" w:rsidP="00F47ACD">
      <w:pPr>
        <w:jc w:val="both"/>
        <w:rPr>
          <w:sz w:val="24"/>
          <w:szCs w:val="24"/>
        </w:rPr>
      </w:pPr>
      <w:proofErr w:type="spellStart"/>
      <w:r w:rsidRPr="00F47ACD">
        <w:rPr>
          <w:b/>
          <w:sz w:val="24"/>
          <w:szCs w:val="24"/>
        </w:rPr>
        <w:t>K</w:t>
      </w:r>
      <w:r w:rsidR="000F4074" w:rsidRPr="00F47ACD">
        <w:rPr>
          <w:b/>
          <w:sz w:val="24"/>
          <w:szCs w:val="24"/>
        </w:rPr>
        <w:t>eywords</w:t>
      </w:r>
      <w:proofErr w:type="spellEnd"/>
      <w:r w:rsidR="000F4074" w:rsidRPr="00F47ACD">
        <w:rPr>
          <w:sz w:val="24"/>
          <w:szCs w:val="24"/>
        </w:rPr>
        <w:t>:</w:t>
      </w:r>
      <w:r w:rsidRPr="00F47ACD">
        <w:rPr>
          <w:sz w:val="24"/>
          <w:szCs w:val="24"/>
        </w:rPr>
        <w:t xml:space="preserve">  </w:t>
      </w:r>
      <w:proofErr w:type="spellStart"/>
      <w:r w:rsidR="000F4074" w:rsidRPr="00F47ACD">
        <w:rPr>
          <w:sz w:val="24"/>
          <w:szCs w:val="24"/>
        </w:rPr>
        <w:t>Action</w:t>
      </w:r>
      <w:proofErr w:type="spellEnd"/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research</w:t>
      </w:r>
      <w:proofErr w:type="spellEnd"/>
      <w:r w:rsidR="000F4074" w:rsidRPr="00F47ACD">
        <w:rPr>
          <w:sz w:val="24"/>
          <w:szCs w:val="24"/>
        </w:rPr>
        <w:t>,</w:t>
      </w:r>
      <w:r w:rsidRPr="00F47ACD">
        <w:rPr>
          <w:sz w:val="24"/>
          <w:szCs w:val="24"/>
        </w:rPr>
        <w:t xml:space="preserve"> </w:t>
      </w:r>
      <w:r w:rsidR="000F4074" w:rsidRPr="00F47ACD">
        <w:rPr>
          <w:sz w:val="24"/>
          <w:szCs w:val="24"/>
        </w:rPr>
        <w:t>social</w:t>
      </w:r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mapping</w:t>
      </w:r>
      <w:proofErr w:type="spellEnd"/>
      <w:r w:rsidR="000F4074" w:rsidRPr="00F47ACD">
        <w:rPr>
          <w:sz w:val="24"/>
          <w:szCs w:val="24"/>
        </w:rPr>
        <w:t>,</w:t>
      </w:r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professional</w:t>
      </w:r>
      <w:proofErr w:type="spellEnd"/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teaching</w:t>
      </w:r>
      <w:proofErr w:type="spellEnd"/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practice</w:t>
      </w:r>
      <w:proofErr w:type="spellEnd"/>
      <w:r w:rsidR="000F4074" w:rsidRPr="00F47ACD">
        <w:rPr>
          <w:sz w:val="24"/>
          <w:szCs w:val="24"/>
        </w:rPr>
        <w:t>,</w:t>
      </w:r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scientific</w:t>
      </w:r>
      <w:proofErr w:type="spellEnd"/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divulgation</w:t>
      </w:r>
      <w:proofErr w:type="spellEnd"/>
      <w:r w:rsidR="000F4074" w:rsidRPr="00F47ACD">
        <w:rPr>
          <w:sz w:val="24"/>
          <w:szCs w:val="24"/>
        </w:rPr>
        <w:t>,</w:t>
      </w:r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participatory</w:t>
      </w:r>
      <w:proofErr w:type="spellEnd"/>
      <w:r w:rsidRPr="00F47ACD">
        <w:rPr>
          <w:sz w:val="24"/>
          <w:szCs w:val="24"/>
        </w:rPr>
        <w:t xml:space="preserve"> </w:t>
      </w:r>
      <w:proofErr w:type="spellStart"/>
      <w:r w:rsidR="000F4074" w:rsidRPr="00F47ACD">
        <w:rPr>
          <w:sz w:val="24"/>
          <w:szCs w:val="24"/>
        </w:rPr>
        <w:t>methodologies</w:t>
      </w:r>
      <w:proofErr w:type="spellEnd"/>
      <w:r w:rsidRPr="00F47ACD">
        <w:rPr>
          <w:sz w:val="24"/>
          <w:szCs w:val="24"/>
        </w:rPr>
        <w:t xml:space="preserve"> </w:t>
      </w:r>
    </w:p>
    <w:p w14:paraId="2A789A5C" w14:textId="764E7FB4" w:rsidR="000F4074" w:rsidRPr="00F47ACD" w:rsidRDefault="00F47ACD" w:rsidP="00F47ACD">
      <w:r>
        <w:t xml:space="preserve">  </w:t>
      </w:r>
    </w:p>
    <w:p w14:paraId="6FC696B8" w14:textId="7EBC13B5" w:rsidR="000F4074" w:rsidRPr="000F4074" w:rsidRDefault="00F47ACD" w:rsidP="000F4074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0910A7E" w14:textId="72B53D57" w:rsidR="000F4074" w:rsidRPr="000F4074" w:rsidRDefault="000F4074" w:rsidP="000F4074">
      <w:pPr>
        <w:spacing w:after="0" w:line="240" w:lineRule="auto"/>
        <w:ind w:left="225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Introducción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74C4662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543509CC" w14:textId="43564833" w:rsidR="000F4074" w:rsidRDefault="000F4074" w:rsidP="000F4074">
      <w:pPr>
        <w:spacing w:after="0" w:line="240" w:lineRule="auto"/>
        <w:ind w:right="15" w:firstLine="708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proyecto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necesidad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documentar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productos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retribución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realizados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Licenciatura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Lengua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Literatura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(LDLL),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marco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proyectos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intervención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permita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tener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acercamiento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extracurriculares,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así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impacto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tienen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instituciones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distintos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niveles.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tanto,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objetivo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proyecto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construir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desarrollo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LDLL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realizan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profesionales.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1C5BC0A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69CB98CF" w14:textId="674A2F57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tratamiento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problema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tomaron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hallazgos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internacionales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nacionales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apoyan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método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ponen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énfasis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escolares.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Asimismo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aportaciones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teóricas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autores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clásicos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abordan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perspectiva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(Freire,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1970),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(Lewin,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1946),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(Corey,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1953),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(Fals–Borda,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1987).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autores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actuales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Zeichner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1993,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2010),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(Elliott,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2005),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(Wells,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2009),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McNiff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2016)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(Kemmis,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2005).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2B21A7C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45AEE65B" w14:textId="702168D3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primer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momento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presenta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problematización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fundamentación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ruta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metodológica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segundo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momento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relata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trabajo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muestra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partiendo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testimonio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involucrados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metodología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participativa.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Finalmente,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desarrolla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discusión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triangulación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teoría,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reflexión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aportaciones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sociales.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1C80CB2" w14:textId="77777777" w:rsidR="000F4074" w:rsidRDefault="000F4074" w:rsidP="000F4074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es-ES" w:eastAsia="es-MX"/>
        </w:rPr>
      </w:pPr>
    </w:p>
    <w:p w14:paraId="29EC6DFB" w14:textId="77777777" w:rsidR="00747B37" w:rsidRDefault="00747B37">
      <w:pPr>
        <w:rPr>
          <w:rFonts w:eastAsia="Times New Roman" w:cstheme="minorHAnsi"/>
          <w:b/>
          <w:bCs/>
          <w:sz w:val="24"/>
          <w:szCs w:val="24"/>
          <w:lang w:val="es-ES" w:eastAsia="es-MX"/>
        </w:rPr>
      </w:pPr>
      <w:r>
        <w:rPr>
          <w:rFonts w:eastAsia="Times New Roman" w:cstheme="minorHAnsi"/>
          <w:b/>
          <w:bCs/>
          <w:sz w:val="24"/>
          <w:szCs w:val="24"/>
          <w:lang w:val="es-ES" w:eastAsia="es-MX"/>
        </w:rPr>
        <w:br w:type="page"/>
      </w:r>
    </w:p>
    <w:p w14:paraId="529BE81F" w14:textId="37CF61EC" w:rsidR="000F4074" w:rsidRPr="000F4074" w:rsidRDefault="000F4074" w:rsidP="000F407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lastRenderedPageBreak/>
        <w:t>Metodología</w:t>
      </w:r>
    </w:p>
    <w:p w14:paraId="4224D6D6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1A52A6F6" w14:textId="026B6A20" w:rsidR="000F4074" w:rsidRPr="000F4074" w:rsidRDefault="000F4074" w:rsidP="000F4074">
      <w:pPr>
        <w:spacing w:after="0" w:line="240" w:lineRule="auto"/>
        <w:ind w:right="15" w:firstLine="708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ruta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metodológica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alcance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exploratorio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descriptiva,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través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metodología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participativa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colaborativa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invita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reflexión,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organización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alrededor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físico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específico.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técnica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dialógica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(Fals–Borda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Rodríguez,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1986)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“implica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tarea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compartida,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fuerte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intercambio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ideas,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documental,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debate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acciones,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objetos,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conflictos;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finalmente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consenso”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(Diez,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2012,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p.15).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FDBEF53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637939B0" w14:textId="365A8279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trabajó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matriz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metodológica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permitiera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diseño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colaboración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octavo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semestre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LDLL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realizaron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durante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semestre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2024–1.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manera,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emergió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revisión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literatura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relato.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CA6FC90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es-ES" w:eastAsia="es-MX"/>
        </w:rPr>
      </w:pPr>
    </w:p>
    <w:p w14:paraId="6D34022B" w14:textId="0AA79112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Participantes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F440E00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70DA02DE" w14:textId="3FCD9E79" w:rsidR="000F4074" w:rsidRPr="000F4074" w:rsidRDefault="000F4074" w:rsidP="000F4074">
      <w:pPr>
        <w:spacing w:after="0" w:line="240" w:lineRule="auto"/>
        <w:ind w:right="15" w:firstLine="708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trabajó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LDLL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Autónoma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Baja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California,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7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hombres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12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mujeres.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9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cursan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séptimo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semestre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10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estaban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octavo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semestre.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selección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conveniencia,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requisito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estuvieran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activos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manera,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hizo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invitación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abierta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través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explicando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objetivos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proyecto,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logrando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30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6ACFC00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654C87DB" w14:textId="2FAEF48F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partió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interrogante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¿Qué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sucede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qué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tejen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unidades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receptoras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alrededor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productos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solicitados?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diseñó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planeación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objetivo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identificar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buenas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Unidades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Receptoras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donde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realizaron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través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opiniones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percepciones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construir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colectivo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listado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grupo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relación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territorio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escuelas).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404C023" w14:textId="086F35E7" w:rsidR="000F4074" w:rsidRPr="000F4074" w:rsidRDefault="00F47ACD" w:rsidP="000F4074">
      <w:pPr>
        <w:spacing w:after="0" w:line="240" w:lineRule="auto"/>
        <w:ind w:left="255"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054BE7EB" w14:textId="40BB9D72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final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consideraron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esquema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testimonios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presentar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interpretar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dicha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Fueron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registrados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apoyo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imágenes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videos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transcribieron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analizaron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12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textos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cuidando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confidencialidad.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proyecto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dictaminado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comité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ética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firmaron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consentimiento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informado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resguardo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información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fines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educativos.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C0CD6BF" w14:textId="77777777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239735F4" w14:textId="06F920A1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limitaciones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transferibilidad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hallazgos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fueron: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tiempo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disponible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sesión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horas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pudo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afectar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profundidad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análisis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colectivo,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muestra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conveniencia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dificultó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generalización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3)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priori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pudo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generar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sesgo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frenar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espontaneidad.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AFD9FF0" w14:textId="77777777" w:rsidR="000F4074" w:rsidRDefault="000F4074" w:rsidP="000F4074">
      <w:pPr>
        <w:spacing w:after="0" w:line="240" w:lineRule="auto"/>
        <w:ind w:left="24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val="es-ES" w:eastAsia="es-MX"/>
        </w:rPr>
      </w:pPr>
    </w:p>
    <w:p w14:paraId="6EEDB345" w14:textId="36271081" w:rsidR="000F4074" w:rsidRDefault="000F4074" w:rsidP="000F4074">
      <w:pPr>
        <w:spacing w:after="0" w:line="240" w:lineRule="auto"/>
        <w:ind w:left="240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Resultados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0034C4A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09926DDB" w14:textId="4AB86A96" w:rsidR="000F4074" w:rsidRDefault="000F4074" w:rsidP="000F4074">
      <w:pPr>
        <w:spacing w:after="0" w:line="240" w:lineRule="auto"/>
        <w:ind w:right="15" w:firstLine="70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resultados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organizaron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categorías: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emergentes.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18D1C29" w14:textId="77777777" w:rsidR="000F4074" w:rsidRPr="000F4074" w:rsidRDefault="000F4074" w:rsidP="000F4074">
      <w:pPr>
        <w:spacing w:after="0" w:line="240" w:lineRule="auto"/>
        <w:ind w:right="15" w:firstLine="70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2D7E342D" w14:textId="3A16EFEB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Participación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activa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DA46FAC" w14:textId="77777777" w:rsid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085D04B6" w14:textId="50473359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positivas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38A6AD1" w14:textId="745DFCF0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lastRenderedPageBreak/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practicantes,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valiosos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aprendizaje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interdisciplinarias,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ferias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ciencias,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eventos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STEAM,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medio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ambiente,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festivales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rallys</w:t>
      </w:r>
      <w:proofErr w:type="spellEnd"/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pues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fomentan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creatividad,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trabajo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equipo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innovación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pedagógica.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algunas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experiencias: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030D6AE" w14:textId="78EF51B8" w:rsidR="000F4074" w:rsidRPr="000F4074" w:rsidRDefault="000F4074" w:rsidP="000F4074">
      <w:pPr>
        <w:pStyle w:val="Prrafodelista"/>
        <w:numPr>
          <w:ilvl w:val="0"/>
          <w:numId w:val="2"/>
        </w:numPr>
        <w:spacing w:after="0" w:line="240" w:lineRule="auto"/>
        <w:ind w:left="709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Participé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organización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algunos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eventos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específicos,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por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ejemplo,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hicimos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un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concurso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cuentacuentos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donde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tocó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jurado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pocos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profes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estaban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impartiendo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español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otro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tipo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materias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como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inglés—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13”).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0CA88357" w14:textId="45835419" w:rsidR="000F4074" w:rsidRPr="000F4074" w:rsidRDefault="000F4074" w:rsidP="000F4074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Participé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fomento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medio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ambiente,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concurso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oratoria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concurso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ciencias—”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3”).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7C367F0" w14:textId="511A95BE" w:rsidR="000F4074" w:rsidRPr="000F4074" w:rsidRDefault="000F4074" w:rsidP="000F4074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Colaboré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muchos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eventos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extracurriculares,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como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feria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matemáticas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robótica,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mini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chef,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artes—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8”).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E773907" w14:textId="0F6C41B4" w:rsidR="000F4074" w:rsidRPr="000F4074" w:rsidRDefault="00F47ACD" w:rsidP="000F40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 </w:t>
      </w:r>
    </w:p>
    <w:p w14:paraId="1ED3AF64" w14:textId="4758D9DD" w:rsidR="000F4074" w:rsidRPr="000F4074" w:rsidRDefault="000F4074" w:rsidP="000F40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Aunque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identifica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ocasiones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no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están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directamente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vinculadas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su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formación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profesional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puede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generar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una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sensación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dispersión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esfuerzos.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Si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bien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reconoce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importancia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formación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integral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su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involucramiento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cultura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organizacional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escolares,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identifica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una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falta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seguimiento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documentación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estas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experiencias.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9FC4DBE" w14:textId="76F5B5F1" w:rsidR="000F4074" w:rsidRPr="000F4074" w:rsidRDefault="00F47ACD" w:rsidP="000F40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 </w:t>
      </w:r>
    </w:p>
    <w:p w14:paraId="1F3F57A1" w14:textId="373512BD" w:rsidR="000F4074" w:rsidRPr="000F4074" w:rsidRDefault="000F4074" w:rsidP="000F4074">
      <w:p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—Me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invitaron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un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taller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formación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clubes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lectura—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6”).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C117AA7" w14:textId="0162C8C5" w:rsidR="000F4074" w:rsidRPr="000F4074" w:rsidRDefault="000F4074" w:rsidP="000F4074">
      <w:p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—Existe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reconocimiento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labor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docente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libertad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para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impartir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sin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restricciones—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7”).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59B373B" w14:textId="75A7E70B" w:rsidR="000F4074" w:rsidRPr="000F4074" w:rsidRDefault="000F4074" w:rsidP="000F4074">
      <w:p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—Participé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didácticas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recreativas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como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cuentos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culturales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científicos—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12”).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EA28EC0" w14:textId="3AC44375" w:rsidR="000F4074" w:rsidRPr="000F4074" w:rsidRDefault="00F47ACD" w:rsidP="000F4074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 </w:t>
      </w:r>
    </w:p>
    <w:p w14:paraId="4D4B3E0E" w14:textId="0B147946" w:rsidR="000F4074" w:rsidRPr="000F4074" w:rsidRDefault="000F4074" w:rsidP="000F4074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b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b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sz w:val="24"/>
          <w:szCs w:val="24"/>
          <w:lang w:val="es-ES" w:eastAsia="es-MX"/>
        </w:rPr>
        <w:t>negativas</w:t>
      </w:r>
      <w:r w:rsidR="00F47ACD">
        <w:rPr>
          <w:rFonts w:eastAsia="Times New Roman" w:cstheme="minorHAnsi"/>
          <w:b/>
          <w:sz w:val="24"/>
          <w:szCs w:val="24"/>
          <w:lang w:eastAsia="es-MX"/>
        </w:rPr>
        <w:t xml:space="preserve"> </w:t>
      </w:r>
    </w:p>
    <w:p w14:paraId="5A9884EA" w14:textId="77777777" w:rsidR="000F4074" w:rsidRDefault="000F4074" w:rsidP="000F4074">
      <w:pPr>
        <w:spacing w:after="0" w:line="240" w:lineRule="auto"/>
        <w:ind w:left="255"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282FD914" w14:textId="79F66EE0" w:rsidR="000F4074" w:rsidRPr="000F4074" w:rsidRDefault="000F4074" w:rsidP="000F4074">
      <w:pPr>
        <w:spacing w:after="0" w:line="240" w:lineRule="auto"/>
        <w:ind w:right="15" w:firstLine="709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identificaron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cuatro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temas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relevantes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cuanto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negativas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extracurriculares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viven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entorno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escolar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suelen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reflejar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desafíos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estructurales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humanos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sistema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educativo: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reconocimiento,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violencia,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tiempo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infraestructura.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sentir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general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desvalorización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labor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enfrentan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comunidad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escolar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donde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ocasiones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infraestructura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inadecuada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falta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materiales,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equipos,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restringe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pedagógicas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efectivas.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algunas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voces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estudiantes: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EA7A676" w14:textId="2782625A" w:rsidR="000F4074" w:rsidRPr="000F4074" w:rsidRDefault="000F4074" w:rsidP="000F4074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—Hay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minimización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hacia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por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algunos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docentes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estudiantes.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No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respetaban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nuestras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horas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descanso,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algunos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docentes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nos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llegaban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quitar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autoridad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hay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agresividad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por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parte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estudiantes—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7”).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0A9E0AD" w14:textId="2B5920CB" w:rsidR="000F4074" w:rsidRPr="000F4074" w:rsidRDefault="000F4074" w:rsidP="000F4074">
      <w:pPr>
        <w:spacing w:after="0" w:line="240" w:lineRule="auto"/>
        <w:ind w:left="720"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—Desde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llegamos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agarran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avientan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grupos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están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solos,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tienen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maestra,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advierten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ni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siquiera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están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niños,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niños,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simplemente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llegamos,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pasamos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salones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hemos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topado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muchas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situaciones,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sido;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alumnos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muy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desafiantes—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01CFE39" w14:textId="794E4A8D" w:rsidR="000F4074" w:rsidRPr="000F4074" w:rsidRDefault="000F4074" w:rsidP="000F4074">
      <w:pPr>
        <w:spacing w:after="0" w:line="240" w:lineRule="auto"/>
        <w:ind w:left="720"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—En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mi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escuela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vive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especie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acoso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algunos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estudiantes—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5”).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351C572" w14:textId="77777777" w:rsidR="005122B6" w:rsidRDefault="005122B6" w:rsidP="005122B6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es-ES" w:eastAsia="es-MX"/>
        </w:rPr>
      </w:pPr>
    </w:p>
    <w:p w14:paraId="0310801B" w14:textId="4992E216" w:rsidR="000F4074" w:rsidRPr="000F4074" w:rsidRDefault="000F4074" w:rsidP="005122B6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Retos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B0F4F8C" w14:textId="77777777" w:rsidR="005122B6" w:rsidRDefault="005122B6" w:rsidP="005122B6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val="es-ES" w:eastAsia="es-MX"/>
        </w:rPr>
      </w:pPr>
    </w:p>
    <w:p w14:paraId="056B6922" w14:textId="65E6C0AD" w:rsidR="000F4074" w:rsidRPr="000F4074" w:rsidRDefault="000F4074" w:rsidP="005122B6">
      <w:pPr>
        <w:spacing w:after="0" w:line="240" w:lineRule="auto"/>
        <w:ind w:right="15" w:firstLine="55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lastRenderedPageBreak/>
        <w:t>Uno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principales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enfrentan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tiempo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limitado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impartir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sus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clases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impedimento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cumplir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planeaciones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buscan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aprendizaje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significativo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través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estrategias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didácticas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imposibles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desarrollar.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contexto,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falta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infraestructura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material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didáctico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limita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creatividad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hace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imposible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trabajo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barreras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aprendizaje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requieren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atención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especializada.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identifica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poca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prioridad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hacia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clubes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lectura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cultural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algunas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opiniones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respecto: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04ACFB79" w14:textId="0BB0B977" w:rsidR="000F4074" w:rsidRPr="000F4074" w:rsidRDefault="00F47ACD" w:rsidP="000F4074">
      <w:pPr>
        <w:spacing w:after="0" w:line="240" w:lineRule="auto"/>
        <w:ind w:left="55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 </w:t>
      </w:r>
    </w:p>
    <w:p w14:paraId="7B37F452" w14:textId="6CB1D023" w:rsidR="000F4074" w:rsidRPr="000F4074" w:rsidRDefault="000F4074" w:rsidP="005122B6">
      <w:pPr>
        <w:spacing w:after="0" w:line="240" w:lineRule="auto"/>
        <w:ind w:left="55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—No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debida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atención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clubes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lectura,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dejan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todo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español—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6”).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CA4E3CD" w14:textId="2AA41C2B" w:rsidR="000F4074" w:rsidRPr="000F4074" w:rsidRDefault="000F4074" w:rsidP="000F4074">
      <w:pPr>
        <w:spacing w:after="0" w:line="240" w:lineRule="auto"/>
        <w:ind w:left="55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—Sin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apoyo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material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didáctico—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10”).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CC40C9C" w14:textId="44706301" w:rsidR="000F4074" w:rsidRPr="000F4074" w:rsidRDefault="000F4074" w:rsidP="005122B6">
      <w:pPr>
        <w:spacing w:after="0" w:line="240" w:lineRule="auto"/>
        <w:ind w:left="555"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—Alumnos,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barreras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aprendizaje,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suficiente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ayuda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realización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trabajos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atrasarse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temas—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6”).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8248E0C" w14:textId="0BC1A963" w:rsidR="000F4074" w:rsidRPr="000F4074" w:rsidRDefault="000F4074" w:rsidP="000F4074">
      <w:pPr>
        <w:spacing w:after="0" w:line="240" w:lineRule="auto"/>
        <w:ind w:left="55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—Hubo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un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problema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falla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eléctrica,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cual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provocó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suspendieran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clases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como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cinco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días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seis,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hasta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apenas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día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ayer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asistieron—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(“Practicante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15”).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D6A1FE0" w14:textId="782DD11D" w:rsidR="000F4074" w:rsidRPr="000F4074" w:rsidRDefault="00F47ACD" w:rsidP="000F4074">
      <w:pPr>
        <w:spacing w:after="0" w:line="240" w:lineRule="auto"/>
        <w:ind w:left="55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 </w:t>
      </w:r>
    </w:p>
    <w:p w14:paraId="7B55B315" w14:textId="520A4F6B" w:rsidR="000F4074" w:rsidRPr="000F4074" w:rsidRDefault="000F4074" w:rsidP="005122B6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Categorías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emergentes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1C41D40" w14:textId="77777777" w:rsidR="005122B6" w:rsidRDefault="00497BA2" w:rsidP="005122B6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ab/>
      </w:r>
    </w:p>
    <w:p w14:paraId="7BA2D406" w14:textId="75A11E1D" w:rsidR="000F4074" w:rsidRPr="000F4074" w:rsidRDefault="000F4074" w:rsidP="00497BA2">
      <w:pPr>
        <w:spacing w:after="0" w:line="240" w:lineRule="auto"/>
        <w:ind w:firstLine="70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flexibilidad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metodología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permitió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emergieran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7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para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abordar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investigaciones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futuras: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violencia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estructural,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violencia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interpersonal,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tiempo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limitado,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sobrecarga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trabajo,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normalización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incumplimiento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reglamento,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incongruencia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actividad–perfil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profesional,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infraestructura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escolar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insuficiente.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0ACD7BA" w14:textId="0C6693E6" w:rsidR="000F4074" w:rsidRPr="000F4074" w:rsidRDefault="00F47ACD" w:rsidP="000F4074">
      <w:pPr>
        <w:spacing w:after="0" w:line="240" w:lineRule="auto"/>
        <w:ind w:left="225" w:firstLine="480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 </w:t>
      </w:r>
    </w:p>
    <w:p w14:paraId="71DCC39F" w14:textId="5AF5F030" w:rsidR="000F4074" w:rsidRPr="000F4074" w:rsidRDefault="000F4074" w:rsidP="00497BA2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i/>
          <w:iCs/>
          <w:sz w:val="24"/>
          <w:szCs w:val="24"/>
          <w:lang w:eastAsia="es-MX"/>
        </w:rPr>
        <w:t>Figura</w:t>
      </w:r>
      <w:r w:rsidR="00F47ACD">
        <w:rPr>
          <w:rFonts w:eastAsia="Times New Roman" w:cstheme="minorHAnsi"/>
          <w:i/>
          <w:i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eastAsia="es-MX"/>
        </w:rPr>
        <w:t>1.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Categorización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priori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posteriori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D49AEC9" w14:textId="722436EF" w:rsidR="000F4074" w:rsidRPr="000F4074" w:rsidRDefault="000F4074" w:rsidP="000F4074">
      <w:pPr>
        <w:spacing w:after="0" w:line="240" w:lineRule="auto"/>
        <w:ind w:firstLine="225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Nota.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Figura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fotografía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elaboración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propia.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EC330F5" w14:textId="43D21BEC" w:rsidR="000F4074" w:rsidRPr="000F4074" w:rsidRDefault="00F47ACD" w:rsidP="00497BA2">
      <w:pPr>
        <w:spacing w:after="0" w:line="240" w:lineRule="auto"/>
        <w:ind w:left="55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  </w:t>
      </w:r>
    </w:p>
    <w:p w14:paraId="3139FBF9" w14:textId="449B5927" w:rsidR="000F4074" w:rsidRDefault="000F4074" w:rsidP="00497BA2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Apartado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Discusión</w:t>
      </w:r>
    </w:p>
    <w:p w14:paraId="1884588D" w14:textId="77777777" w:rsidR="00497BA2" w:rsidRDefault="00497BA2" w:rsidP="00497BA2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2845CB94" w14:textId="17961F46" w:rsidR="000F4074" w:rsidRDefault="000F4074" w:rsidP="00497BA2">
      <w:pPr>
        <w:spacing w:after="0" w:line="240" w:lineRule="auto"/>
        <w:ind w:right="15" w:firstLine="708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positivas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torno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científica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reflejan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potencial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transformador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pedagógica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cuando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fundamenta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reflexión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colaboración.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Quienes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tuvieron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mostraron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fortalecimiento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identidad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cuando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tenían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relación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directa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formación,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reconocerse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actores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capaces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generar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compartir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colaborativas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comunicación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propiciaron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aprendizaje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más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profundo,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basado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reflexión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construcción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menciona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Wells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(2009)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proceso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aprendizaje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sentidos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agudiza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mirada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contexto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escolar.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practicantes,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herramienta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diálogo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crítico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transformador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(Freire,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1970),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necesaria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establecer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apoyo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generación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cultura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diálogo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profesional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pedagógica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Pavitola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et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2021).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hallazgos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alinean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aportaciones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Elliott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(2005);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Kemmis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McTaggart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(2005)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McNiff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Whitehead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(2016)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respecto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comunicación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proceso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complejo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articula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producción,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intercambio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resignificación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pedagógico.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89FA2A4" w14:textId="77777777" w:rsidR="00497BA2" w:rsidRPr="000F4074" w:rsidRDefault="00497BA2" w:rsidP="00497BA2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3F2F380F" w14:textId="518ED4BB" w:rsidR="000F4074" w:rsidRDefault="000F4074" w:rsidP="00497BA2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negativas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hacen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visible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limitaciones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estructurales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afectan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respecto,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Reason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Bradbury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coinciden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falta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lastRenderedPageBreak/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tiempo,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acompañamiento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metodológico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apoyo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institucional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dificulta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desarrollo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procesos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(2008).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cuando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actividades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imponen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articulación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clara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pierden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su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valor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formativo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perciben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obligaciones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obstaculizan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planeaciones.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formativas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depende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gran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medida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acompañamiento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creación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ambientes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favorezcan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aprendizaje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colaborativo,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seguros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confianza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mutua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(Brown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Duguid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2001,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Zeichner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1993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Reason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Heron,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1996)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estructuras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horizontales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reconozcan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valor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voces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emergentes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(Fals–Borda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Rodríguez,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1986).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elementos,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puede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experimentar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estrés,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desmotivación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visión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instrumental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impidiendo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romper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monopolio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(Rahman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Fals–Borda,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1988)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democratización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saber.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186600F" w14:textId="77777777" w:rsidR="00497BA2" w:rsidRPr="000F4074" w:rsidRDefault="00497BA2" w:rsidP="00497BA2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6B1FD34C" w14:textId="31B67669" w:rsidR="000F4074" w:rsidRPr="000F4074" w:rsidRDefault="000F4074" w:rsidP="00497BA2">
      <w:pPr>
        <w:spacing w:after="0" w:line="240" w:lineRule="auto"/>
        <w:ind w:right="15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concordancia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Fals</w:t>
      </w:r>
      <w:r w:rsidRPr="000F4074">
        <w:rPr>
          <w:rFonts w:eastAsia="Times New Roman" w:cstheme="minorHAnsi"/>
          <w:sz w:val="24"/>
          <w:szCs w:val="24"/>
          <w:lang w:eastAsia="es-MX"/>
        </w:rPr>
        <w:t>–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Borda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(1987)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implicaciones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giran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torno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construcción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colectiva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saberes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soluciones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pedagógicas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situadas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cotidianidad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espacio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escolar.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tanto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reflexiva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colaborativa,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integra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teoría,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compromiso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consonancia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modelo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maestro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propuesto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Zeichner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(1993,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2010)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además,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fortalece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aprendizajes,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promueve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autonomía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contribuye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consolidación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comunidades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docentes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asumen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papel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difusión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(Mayorga</w:t>
      </w:r>
      <w:r w:rsidRPr="000F4074">
        <w:rPr>
          <w:rFonts w:eastAsia="Times New Roman" w:cstheme="minorHAnsi"/>
          <w:sz w:val="24"/>
          <w:szCs w:val="24"/>
          <w:lang w:eastAsia="es-MX"/>
        </w:rPr>
        <w:t>–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Albán,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2022),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convirtiéndose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práctica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sino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gestión,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propicia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transparencia,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fortalece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comunitaria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potencia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rendición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cuentas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corresponsabilidad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institucional.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respuesta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principios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formación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integral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responsabilidad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contemplados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Plan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Desarrollo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Institucional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Autónoma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Baja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California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(2023)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principios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Plan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Desarrollo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2021–2025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Facultad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Pedagogía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Innovación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(2021).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EF9FF20" w14:textId="77777777" w:rsidR="000F4074" w:rsidRDefault="000F4074" w:rsidP="00497BA2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val="es-ES" w:eastAsia="es-MX"/>
        </w:rPr>
      </w:pPr>
    </w:p>
    <w:p w14:paraId="17BD337D" w14:textId="7A8936EA" w:rsidR="000F4074" w:rsidRPr="000F4074" w:rsidRDefault="000F4074" w:rsidP="00497BA2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Conclusiones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06CF31D" w14:textId="3FE1D01E" w:rsidR="000F4074" w:rsidRPr="000F4074" w:rsidRDefault="00F47ACD" w:rsidP="00497BA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EB77BEB" w14:textId="1CB158B2" w:rsidR="000F4074" w:rsidRPr="000F4074" w:rsidRDefault="000F4074" w:rsidP="00497BA2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419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trabajo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arrojó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datos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importantes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construcción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7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emergentes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sobre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participación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activa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docentes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divulgación.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Esto,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considerando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limitantes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actuales,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permitirá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trabajar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segunda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versión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intención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aplicar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una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muestra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más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amplia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contemple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nuevo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plan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estudios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así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abrirlo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otras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carreras.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019E526" w14:textId="0320CDE9" w:rsidR="000F4074" w:rsidRPr="000F4074" w:rsidRDefault="00F47ACD" w:rsidP="000F4074">
      <w:pPr>
        <w:spacing w:after="0" w:line="240" w:lineRule="auto"/>
        <w:ind w:left="225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C78C988" w14:textId="5FF62D60" w:rsidR="000F4074" w:rsidRPr="000F4074" w:rsidRDefault="000F4074" w:rsidP="00497BA2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multidisciplinaria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involucra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comunicación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especializada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llevar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conocimiento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distintos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públicos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través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soportes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comunicacionales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diversos.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sentido,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LDLL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diseñan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aplican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estrategias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divulgar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resultados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sus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proyectos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investigación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intervención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educativa,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sin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embargo,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no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hay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un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seguimiento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permita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vislumbrar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aceptación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impacto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mismos.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Estamos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camino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construir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fortalecer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metodológicas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activas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involucren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estudiantes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comunidad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general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generación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conocimiento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que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impacte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los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distintos</w:t>
      </w:r>
      <w:r w:rsidR="00F47ACD">
        <w:rPr>
          <w:rFonts w:eastAsia="Times New Roman" w:cstheme="minorHAnsi"/>
          <w:sz w:val="24"/>
          <w:szCs w:val="24"/>
          <w:lang w:val="es-419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419" w:eastAsia="es-MX"/>
        </w:rPr>
        <w:t>contextos.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0D8415F" w14:textId="2C0101ED" w:rsidR="000F4074" w:rsidRPr="000F4074" w:rsidRDefault="00F47ACD" w:rsidP="000F40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350A09F" w14:textId="7D3109E4" w:rsidR="000F4074" w:rsidRDefault="000F4074" w:rsidP="000F4074">
      <w:pPr>
        <w:spacing w:after="0" w:line="240" w:lineRule="auto"/>
        <w:ind w:left="225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Futuras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líneas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b/>
          <w:b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72EB5B2" w14:textId="77777777" w:rsidR="00497BA2" w:rsidRPr="000F4074" w:rsidRDefault="00497BA2" w:rsidP="000F4074">
      <w:pPr>
        <w:spacing w:after="0" w:line="240" w:lineRule="auto"/>
        <w:ind w:left="225"/>
        <w:jc w:val="center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05FD67E0" w14:textId="66EF791D" w:rsidR="000F4074" w:rsidRPr="000F4074" w:rsidRDefault="000F4074" w:rsidP="00497BA2">
      <w:pPr>
        <w:spacing w:after="0" w:line="240" w:lineRule="auto"/>
        <w:ind w:firstLine="708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identificaron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categorías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emergentes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pueden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abordarse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futuras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investigaciones: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disposición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tiempo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practicantes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normalización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falta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reglamento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prácticas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profesionales.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disposición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del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tiempo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por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parte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espacios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educativos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limita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aplicación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sus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lastRenderedPageBreak/>
        <w:t>planeaciones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dificulta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cumplimiento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los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programas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prácticas,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afectando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coherencia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entre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teoría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práctica.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Esta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situación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genera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frustración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y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desmotivación,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pues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desvaloriza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su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papel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como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formadores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proceso.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En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segundo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término,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normaliza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el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exceso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de</w:t>
      </w:r>
      <w:r w:rsidR="00F47ACD">
        <w:rPr>
          <w:rFonts w:eastAsia="Times New Roman" w:cstheme="minorHAnsi"/>
          <w:b/>
          <w:bCs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b/>
          <w:bCs/>
          <w:sz w:val="24"/>
          <w:szCs w:val="24"/>
          <w:lang w:eastAsia="es-MX"/>
        </w:rPr>
        <w:t>trabajo</w:t>
      </w:r>
      <w:r w:rsidRPr="000F4074">
        <w:rPr>
          <w:rFonts w:eastAsia="Times New Roman" w:cstheme="minorHAnsi"/>
          <w:sz w:val="24"/>
          <w:szCs w:val="24"/>
          <w:lang w:eastAsia="es-MX"/>
        </w:rPr>
        <w:t>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asignarles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responsabilidades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que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no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les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corresponden,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como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cubrir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docentes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ausentes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o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atender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situaciones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emocionales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del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eastAsia="es-MX"/>
        </w:rPr>
        <w:t>alumnado.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 </w:t>
      </w:r>
    </w:p>
    <w:p w14:paraId="6586B9AA" w14:textId="301C1DAD" w:rsidR="000F4074" w:rsidRPr="000F4074" w:rsidRDefault="00F47ACD" w:rsidP="000F4074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C8D9EEC" w14:textId="77777777" w:rsidR="00542A89" w:rsidRDefault="00542A89">
      <w:pPr>
        <w:rPr>
          <w:rFonts w:eastAsia="Times New Roman" w:cstheme="minorHAnsi"/>
          <w:b/>
          <w:bCs/>
          <w:sz w:val="24"/>
          <w:szCs w:val="24"/>
          <w:lang w:val="es-ES" w:eastAsia="es-MX"/>
        </w:rPr>
      </w:pPr>
      <w:r>
        <w:rPr>
          <w:rFonts w:eastAsia="Times New Roman" w:cstheme="minorHAnsi"/>
          <w:b/>
          <w:bCs/>
          <w:sz w:val="24"/>
          <w:szCs w:val="24"/>
          <w:lang w:val="es-ES" w:eastAsia="es-MX"/>
        </w:rPr>
        <w:br w:type="page"/>
      </w:r>
    </w:p>
    <w:p w14:paraId="6016C0B7" w14:textId="77777777" w:rsidR="000F4074" w:rsidRDefault="000F4074" w:rsidP="00497BA2">
      <w:pPr>
        <w:spacing w:after="0" w:line="240" w:lineRule="auto"/>
        <w:ind w:right="3150" w:firstLine="3390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b/>
          <w:bCs/>
          <w:sz w:val="24"/>
          <w:szCs w:val="24"/>
          <w:lang w:val="es-ES" w:eastAsia="es-MX"/>
        </w:rPr>
        <w:lastRenderedPageBreak/>
        <w:t>Referencias</w:t>
      </w:r>
    </w:p>
    <w:p w14:paraId="63EC056B" w14:textId="77777777" w:rsidR="00497BA2" w:rsidRPr="000F4074" w:rsidRDefault="00497BA2" w:rsidP="00497BA2">
      <w:pPr>
        <w:spacing w:after="0" w:line="240" w:lineRule="auto"/>
        <w:ind w:right="3150" w:firstLine="3390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</w:p>
    <w:p w14:paraId="7098CB03" w14:textId="5FE1F15B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Brown,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Duguid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(2001).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Knowledge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organization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social–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practice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perspective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Organization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Science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12(2),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198–213.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8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https://doi.org/10.1287/orsc.12.2.198.10116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0B11692" w14:textId="01572A7E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Corey,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(1953).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to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improve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school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practices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Teachers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College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Record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54(5),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353–365.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4BBA8D9" w14:textId="68EEAC9F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Diez,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(2012).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Herramienta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intervención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compleja.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vertebramiento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inercial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proceso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mapeado.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Escudero,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Carballeda,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Barberena,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Hallak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Z.,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Rocha,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Massera,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Vázquez,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Barceló,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Coñuecar,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Gómez,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Gómez,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Feü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Martínez,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Romero,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Eds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Cartografía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social.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intervención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desde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las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ciencias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sociales,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métodos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experiencias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aplicación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(13–26).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Patagonia.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E493D15" w14:textId="103560A2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Elliott,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(2005).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cambio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Educativo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desde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investigación–acción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(4.ª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ed.).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Morata.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AB94DEE" w14:textId="32DAE4CF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Fals–Borda,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Rodríguez,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(1986).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Investigación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participativa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Instituto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Hombre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/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Ediciones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Banda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Oriental.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1EF94AE" w14:textId="4AA631A2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Fals–Borda,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(1987).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The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application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participatory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action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–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Latin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America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International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Sociology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2(4),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329–347.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DOI: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10.1177/026858098700200401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F279C4C" w14:textId="3F4EF6D4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Freire,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(1970).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Pedagogy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the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oppressed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Continuum.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DA3D538" w14:textId="6C62023E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Kemmis,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McTaggart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(2005).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Participatory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Research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Communicative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the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Public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Sphere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K.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Denzin.,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Lincoln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(Eds.).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The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SAGE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Handbook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Qualitative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(3.ª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559–603).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Sage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Publications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137955E" w14:textId="6DD1A209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Lewin,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K.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(1946).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minority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problems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Journal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Issues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2(4),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34–46.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9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https://doi.org/10.1111/j.1540-4560.1946.tb02295.x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C6A10B0" w14:textId="4DAB1A29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Mayorga–Albán,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Pacheco–Mendoza,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Córdova–Morán,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Samaniego–Villarroel,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(2022).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Estrategia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comunicación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científica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Web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2.0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contemporánea: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divulgación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visibilidad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comunicación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científica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académica.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InGenio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Journal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5(1),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pp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1-9.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DOI: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10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https://doi.org/10.18779/ingenio.v5i1.471</w:t>
        </w:r>
      </w:hyperlink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C0F0C19" w14:textId="6716C53C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McNiff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Whitehead,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(2016).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Research</w:t>
      </w:r>
      <w:proofErr w:type="spellEnd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: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Principles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Practice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Routledge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Taylor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&amp;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Francis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Group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785004F4" w14:textId="06A853BA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Pavitola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Krumina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&amp;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Revai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(2021).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for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creating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networks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pedagogical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practice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European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Proceedings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Social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Behavioural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Sciences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118,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167–178.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11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https://doi.org/10.15405/epsbs.2021.07.02.10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30DAF7BB" w14:textId="3AC86CD0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Facultad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Pedagogía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Innovación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Educativa.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(2021).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Plan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Desarrollo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2021–2025.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FPIE.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12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https://fpie.mxl.uabc.mx/wp-content/uploads/2025/01/PD_FPIE_2021-2025.pdf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B5E9AC5" w14:textId="6CDE5F9C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Universidad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Autónoma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Baja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California.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(2023).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Plan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Desarrollo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Institucional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2023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–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2027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13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https://comunicacioninstitucional.uabc.mx/plan-de-desarrollo-institucional/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57646F9A" w14:textId="4AB12A0F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Rahman,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M.A.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Fals–Borda,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(1988).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Romper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monopolio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conocimiento.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Situación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actual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perspectivas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Investigación–Acción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Participativa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mundo.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Análisis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Político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(5)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46–55.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431A4056" w14:textId="0128B3F9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Reason,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&amp;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Bradbury,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(Eds.).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(2008).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The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Sage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handbook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research</w:t>
      </w:r>
      <w:proofErr w:type="spellEnd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: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Participative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inquiry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practice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Sage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Publications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122F177" w14:textId="19E069A4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Reason,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P.,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&amp;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Heron,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J.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(1996).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Participatory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Inquiry</w:t>
      </w:r>
      <w:proofErr w:type="spellEnd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: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From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Rhetoric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to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Collaboration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K.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Denzin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&amp;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Y.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Lincoln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(Eds.),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Handbook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qualitative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(606–623).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Sage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Publications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14965459" w14:textId="4205F660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r w:rsidRPr="000F4074">
        <w:rPr>
          <w:rFonts w:eastAsia="Times New Roman" w:cstheme="minorHAnsi"/>
          <w:sz w:val="24"/>
          <w:szCs w:val="24"/>
          <w:lang w:val="es-ES" w:eastAsia="es-MX"/>
        </w:rPr>
        <w:t>Wells,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G.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(2009).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Dialogic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inquiry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collaborative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re–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search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The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Sage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handbook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educational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action</w:t>
      </w:r>
      <w:proofErr w:type="spellEnd"/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research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(50–61).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SAGE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Publications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Ltd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14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https://dx.doi.org/10.4135/9780857021021.n6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662EA64F" w14:textId="7C25A7B9" w:rsidR="000F4074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lastRenderedPageBreak/>
        <w:t>Zeichner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K.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(1993).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El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maestro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como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profesional</w:t>
      </w:r>
      <w:r w:rsidR="00F47ACD">
        <w:rPr>
          <w:rFonts w:eastAsia="Times New Roman" w:cstheme="minorHAnsi"/>
          <w:i/>
          <w:iCs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i/>
          <w:iCs/>
          <w:sz w:val="24"/>
          <w:szCs w:val="24"/>
          <w:lang w:val="es-ES" w:eastAsia="es-MX"/>
        </w:rPr>
        <w:t>reflexivo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Conferencia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presentada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el11°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University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Wisconsin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Reading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Symposium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Estados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Unidos.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15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https://bibliotecadigital.mineduc.cl/bitstream/handle/20.500.12365/18007/41_El%20maestro%20como%20profesional%20reflexivo.pdf?sequence=1&amp;isAllowed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p w14:paraId="26AF0595" w14:textId="5408669B" w:rsidR="00514A5B" w:rsidRPr="000F4074" w:rsidRDefault="000F4074" w:rsidP="00542A89">
      <w:pPr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sz w:val="24"/>
          <w:szCs w:val="24"/>
          <w:lang w:eastAsia="es-MX"/>
        </w:rPr>
      </w:pPr>
      <w:proofErr w:type="spellStart"/>
      <w:proofErr w:type="gramStart"/>
      <w:r w:rsidRPr="000F4074">
        <w:rPr>
          <w:rFonts w:eastAsia="Times New Roman" w:cstheme="minorHAnsi"/>
          <w:sz w:val="24"/>
          <w:szCs w:val="24"/>
          <w:lang w:val="es-ES" w:eastAsia="es-MX"/>
        </w:rPr>
        <w:t>Zeichner,K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proofErr w:type="gramEnd"/>
      <w:r w:rsidRPr="000F4074">
        <w:rPr>
          <w:rFonts w:eastAsia="Times New Roman" w:cstheme="minorHAnsi"/>
          <w:sz w:val="24"/>
          <w:szCs w:val="24"/>
          <w:lang w:val="es-ES" w:eastAsia="es-MX"/>
        </w:rPr>
        <w:t>(2010).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Rethinking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the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connections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between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="00542A89">
        <w:rPr>
          <w:rFonts w:eastAsia="Times New Roman" w:cstheme="minorHAnsi"/>
          <w:sz w:val="24"/>
          <w:szCs w:val="24"/>
          <w:lang w:val="es-ES" w:eastAsia="es-MX"/>
        </w:rPr>
        <w:t>campus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="00542A89">
        <w:rPr>
          <w:rFonts w:eastAsia="Times New Roman" w:cstheme="minorHAnsi"/>
          <w:sz w:val="24"/>
          <w:szCs w:val="24"/>
          <w:lang w:val="es-ES" w:eastAsia="es-MX"/>
        </w:rPr>
        <w:t>courses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="00542A89">
        <w:rPr>
          <w:rFonts w:eastAsia="Times New Roman" w:cstheme="minorHAnsi"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="00542A89">
        <w:rPr>
          <w:rFonts w:eastAsia="Times New Roman" w:cstheme="minorHAnsi"/>
          <w:sz w:val="24"/>
          <w:szCs w:val="24"/>
          <w:lang w:val="es-ES" w:eastAsia="es-MX"/>
        </w:rPr>
        <w:t>field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="00542A89">
        <w:rPr>
          <w:rFonts w:eastAsia="Times New Roman" w:cstheme="minorHAnsi"/>
          <w:sz w:val="24"/>
          <w:szCs w:val="24"/>
          <w:lang w:val="es-ES" w:eastAsia="es-MX"/>
        </w:rPr>
        <w:t>experie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nces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in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college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–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and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university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–-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based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teacher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education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Journal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of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Teacher</w:t>
      </w:r>
      <w:proofErr w:type="spellEnd"/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proofErr w:type="spellStart"/>
      <w:r w:rsidRPr="000F4074">
        <w:rPr>
          <w:rFonts w:eastAsia="Times New Roman" w:cstheme="minorHAnsi"/>
          <w:sz w:val="24"/>
          <w:szCs w:val="24"/>
          <w:lang w:val="es-ES" w:eastAsia="es-MX"/>
        </w:rPr>
        <w:t>Education</w:t>
      </w:r>
      <w:proofErr w:type="spellEnd"/>
      <w:r w:rsidRPr="000F4074">
        <w:rPr>
          <w:rFonts w:eastAsia="Times New Roman" w:cstheme="minorHAnsi"/>
          <w:sz w:val="24"/>
          <w:szCs w:val="24"/>
          <w:lang w:val="es-ES" w:eastAsia="es-MX"/>
        </w:rPr>
        <w:t>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61(1–2),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89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r w:rsidRPr="000F4074">
        <w:rPr>
          <w:rFonts w:eastAsia="Times New Roman" w:cstheme="minorHAnsi"/>
          <w:sz w:val="24"/>
          <w:szCs w:val="24"/>
          <w:lang w:val="es-ES" w:eastAsia="es-MX"/>
        </w:rPr>
        <w:t>–99.</w:t>
      </w:r>
      <w:r w:rsidR="00F47ACD">
        <w:rPr>
          <w:rFonts w:eastAsia="Times New Roman" w:cstheme="minorHAnsi"/>
          <w:sz w:val="24"/>
          <w:szCs w:val="24"/>
          <w:lang w:val="es-ES" w:eastAsia="es-MX"/>
        </w:rPr>
        <w:t xml:space="preserve"> </w:t>
      </w:r>
      <w:hyperlink r:id="rId16" w:tgtFrame="_blank" w:history="1">
        <w:r w:rsidRPr="000F4074">
          <w:rPr>
            <w:rFonts w:eastAsia="Times New Roman" w:cstheme="minorHAnsi"/>
            <w:color w:val="467886"/>
            <w:sz w:val="24"/>
            <w:szCs w:val="24"/>
            <w:u w:val="single"/>
            <w:lang w:val="es-ES" w:eastAsia="es-MX"/>
          </w:rPr>
          <w:t>https://doi.org/10.1177/0022487109347671</w:t>
        </w:r>
      </w:hyperlink>
      <w:r w:rsidR="00F47ACD">
        <w:rPr>
          <w:rFonts w:eastAsia="Times New Roman" w:cstheme="minorHAnsi"/>
          <w:sz w:val="24"/>
          <w:szCs w:val="24"/>
          <w:lang w:eastAsia="es-MX"/>
        </w:rPr>
        <w:t xml:space="preserve"> </w:t>
      </w:r>
    </w:p>
    <w:sectPr w:rsidR="00514A5B" w:rsidRPr="000F4074" w:rsidSect="008D04C3">
      <w:footerReference w:type="default" r:id="rId17"/>
      <w:pgSz w:w="12240" w:h="15840"/>
      <w:pgMar w:top="1417" w:right="9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4C9A" w14:textId="77777777" w:rsidR="00021248" w:rsidRDefault="00021248" w:rsidP="00A27D89">
      <w:pPr>
        <w:spacing w:after="0" w:line="240" w:lineRule="auto"/>
      </w:pPr>
      <w:r>
        <w:separator/>
      </w:r>
    </w:p>
  </w:endnote>
  <w:endnote w:type="continuationSeparator" w:id="0">
    <w:p w14:paraId="759131F4" w14:textId="77777777" w:rsidR="00021248" w:rsidRDefault="00021248" w:rsidP="00A2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638C" w14:textId="77777777" w:rsidR="00A27D89" w:rsidRPr="00CE3D17" w:rsidRDefault="00A27D89" w:rsidP="00CE3D17">
    <w:pPr>
      <w:pStyle w:val="Piedepgina"/>
      <w:jc w:val="center"/>
      <w:rPr>
        <w:sz w:val="24"/>
        <w:szCs w:val="24"/>
      </w:rPr>
    </w:pPr>
    <w:r w:rsidRPr="00CE3D17">
      <w:rPr>
        <w:b/>
        <w:noProof/>
        <w:sz w:val="24"/>
        <w:szCs w:val="24"/>
      </w:rPr>
      <w:t>Vol. 12, Núm. 24                  Julio – Diciembre 2025                        ISSN: 2448 – 7422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433C" w14:textId="77777777" w:rsidR="00021248" w:rsidRDefault="00021248" w:rsidP="00A27D89">
      <w:pPr>
        <w:spacing w:after="0" w:line="240" w:lineRule="auto"/>
      </w:pPr>
      <w:r>
        <w:separator/>
      </w:r>
    </w:p>
  </w:footnote>
  <w:footnote w:type="continuationSeparator" w:id="0">
    <w:p w14:paraId="153F3C47" w14:textId="77777777" w:rsidR="00021248" w:rsidRDefault="00021248" w:rsidP="00A2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1ECE"/>
    <w:multiLevelType w:val="hybridMultilevel"/>
    <w:tmpl w:val="F1D04086"/>
    <w:lvl w:ilvl="0" w:tplc="69D0D88C">
      <w:numFmt w:val="bullet"/>
      <w:lvlText w:val="—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4A4640"/>
    <w:multiLevelType w:val="hybridMultilevel"/>
    <w:tmpl w:val="B02287A6"/>
    <w:lvl w:ilvl="0" w:tplc="A3B4BCAC"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07737">
    <w:abstractNumId w:val="1"/>
  </w:num>
  <w:num w:numId="2" w16cid:durableId="5105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74"/>
    <w:rsid w:val="00021248"/>
    <w:rsid w:val="00042B98"/>
    <w:rsid w:val="000F404B"/>
    <w:rsid w:val="000F4074"/>
    <w:rsid w:val="00196C80"/>
    <w:rsid w:val="00497BA2"/>
    <w:rsid w:val="005122B6"/>
    <w:rsid w:val="00514A5B"/>
    <w:rsid w:val="00542A89"/>
    <w:rsid w:val="00747B37"/>
    <w:rsid w:val="007A4667"/>
    <w:rsid w:val="008D04C3"/>
    <w:rsid w:val="0094056A"/>
    <w:rsid w:val="009506FB"/>
    <w:rsid w:val="00A20628"/>
    <w:rsid w:val="00A27D89"/>
    <w:rsid w:val="00B141A0"/>
    <w:rsid w:val="00C53D71"/>
    <w:rsid w:val="00C64345"/>
    <w:rsid w:val="00CE3D17"/>
    <w:rsid w:val="00CE5258"/>
    <w:rsid w:val="00E03EC7"/>
    <w:rsid w:val="00E84B2A"/>
    <w:rsid w:val="00EF1EA4"/>
    <w:rsid w:val="00F47ACD"/>
    <w:rsid w:val="00FB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953B"/>
  <w15:chartTrackingRefBased/>
  <w15:docId w15:val="{A5B77708-BB46-46A1-B861-E482FE53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F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run">
    <w:name w:val="textrun"/>
    <w:basedOn w:val="Fuentedeprrafopredeter"/>
    <w:rsid w:val="000F4074"/>
  </w:style>
  <w:style w:type="character" w:customStyle="1" w:styleId="normaltextrun">
    <w:name w:val="normaltextrun"/>
    <w:basedOn w:val="Fuentedeprrafopredeter"/>
    <w:rsid w:val="000F4074"/>
  </w:style>
  <w:style w:type="character" w:customStyle="1" w:styleId="eop">
    <w:name w:val="eop"/>
    <w:basedOn w:val="Fuentedeprrafopredeter"/>
    <w:rsid w:val="000F4074"/>
  </w:style>
  <w:style w:type="character" w:styleId="Hipervnculo">
    <w:name w:val="Hyperlink"/>
    <w:basedOn w:val="Fuentedeprrafopredeter"/>
    <w:uiPriority w:val="99"/>
    <w:semiHidden/>
    <w:unhideWhenUsed/>
    <w:rsid w:val="000F407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F407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0F40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7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D89"/>
  </w:style>
  <w:style w:type="paragraph" w:styleId="Piedepgina">
    <w:name w:val="footer"/>
    <w:basedOn w:val="Normal"/>
    <w:link w:val="PiedepginaCar"/>
    <w:uiPriority w:val="99"/>
    <w:unhideWhenUsed/>
    <w:rsid w:val="00A27D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7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8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3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9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87/orsc.12.2.198.10116" TargetMode="External"/><Relationship Id="rId13" Type="http://schemas.openxmlformats.org/officeDocument/2006/relationships/hyperlink" Target="https://comunicacioninstitucional.uabc.mx/plan-de-desarrollo-instituciona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pie.mxl.uabc.mx/wp-content/uploads/2025/01/PD_FPIE_2021-2025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177/002248710934767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405/epsbs.2021.07.02.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tecadigital.mineduc.cl/bitstream/handle/20.500.12365/18007/41_El%20maestro%20como%20profesional%20reflexivo.pdf?sequence=1&amp;isAllowed" TargetMode="External"/><Relationship Id="rId10" Type="http://schemas.openxmlformats.org/officeDocument/2006/relationships/hyperlink" Target="https://doi.org/10.18779/ingenio.v5i1.4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.1540-4560.1946.tb02295.x" TargetMode="External"/><Relationship Id="rId14" Type="http://schemas.openxmlformats.org/officeDocument/2006/relationships/hyperlink" Target="https://dx.doi.org/10.4135/9780857021021.n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3390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Francisco Santillan Campos</cp:lastModifiedBy>
  <cp:revision>12</cp:revision>
  <cp:lastPrinted>2025-12-11T18:21:00Z</cp:lastPrinted>
  <dcterms:created xsi:type="dcterms:W3CDTF">2025-12-09T17:06:00Z</dcterms:created>
  <dcterms:modified xsi:type="dcterms:W3CDTF">2025-12-11T18:21:00Z</dcterms:modified>
</cp:coreProperties>
</file>