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9A953" w14:textId="5A5154DB" w:rsidR="00F260D0" w:rsidRPr="006730A0" w:rsidRDefault="00123E24" w:rsidP="00123E24">
      <w:pPr>
        <w:pStyle w:val="TextCarCar"/>
        <w:spacing w:before="240" w:after="240" w:line="360" w:lineRule="auto"/>
        <w:ind w:left="708" w:hanging="708"/>
        <w:jc w:val="right"/>
        <w:rPr>
          <w:rFonts w:asciiTheme="minorHAnsi" w:hAnsiTheme="minorHAnsi" w:cstheme="minorHAnsi"/>
          <w:b/>
          <w:bCs/>
          <w:sz w:val="28"/>
          <w:szCs w:val="28"/>
          <w:lang w:val="es-CL"/>
        </w:rPr>
      </w:pPr>
      <w:proofErr w:type="spellStart"/>
      <w:r w:rsidRPr="00EE5EED">
        <w:rPr>
          <w:b/>
          <w:bCs/>
          <w:i/>
          <w:iCs/>
          <w:sz w:val="24"/>
          <w:szCs w:val="24"/>
        </w:rPr>
        <w:t>Artículos</w:t>
      </w:r>
      <w:proofErr w:type="spellEnd"/>
      <w:r w:rsidRPr="00EE5EED">
        <w:rPr>
          <w:b/>
          <w:bCs/>
          <w:i/>
          <w:iCs/>
          <w:sz w:val="24"/>
          <w:szCs w:val="24"/>
        </w:rPr>
        <w:t xml:space="preserve"> </w:t>
      </w:r>
      <w:proofErr w:type="spellStart"/>
      <w:r w:rsidRPr="00EE5EED">
        <w:rPr>
          <w:b/>
          <w:bCs/>
          <w:i/>
          <w:iCs/>
          <w:sz w:val="24"/>
          <w:szCs w:val="24"/>
        </w:rPr>
        <w:t>científicos</w:t>
      </w:r>
      <w:proofErr w:type="spellEnd"/>
    </w:p>
    <w:p w14:paraId="5FCD5F4C" w14:textId="00454DFF" w:rsidR="008377FF" w:rsidRPr="00123E24" w:rsidRDefault="008377FF" w:rsidP="00123E24">
      <w:pPr>
        <w:spacing w:line="276" w:lineRule="auto"/>
        <w:jc w:val="right"/>
        <w:rPr>
          <w:rFonts w:asciiTheme="minorHAnsi" w:eastAsiaTheme="minorHAnsi" w:hAnsiTheme="minorHAnsi" w:cstheme="minorHAnsi"/>
          <w:b/>
          <w:bCs/>
          <w:i/>
          <w:iCs/>
          <w:kern w:val="2"/>
          <w:sz w:val="32"/>
          <w:szCs w:val="32"/>
          <w:lang w:val="es-MX"/>
          <w14:ligatures w14:val="standardContextual"/>
        </w:rPr>
      </w:pPr>
      <w:r w:rsidRPr="00123E24">
        <w:rPr>
          <w:rFonts w:asciiTheme="minorHAnsi" w:eastAsiaTheme="minorHAnsi" w:hAnsiTheme="minorHAnsi" w:cstheme="minorHAnsi"/>
          <w:b/>
          <w:bCs/>
          <w:i/>
          <w:iCs/>
          <w:kern w:val="2"/>
          <w:sz w:val="32"/>
          <w:szCs w:val="32"/>
          <w:lang w:val="es-MX"/>
          <w14:ligatures w14:val="standardContextual"/>
        </w:rPr>
        <w:t>Vinculación con el medio y formación investigativa de los egresados en la educación superior: Aproximaciones metodológicas</w:t>
      </w:r>
    </w:p>
    <w:p w14:paraId="0304B834" w14:textId="552179AA" w:rsidR="008377FF" w:rsidRPr="00123E24" w:rsidRDefault="00123E24" w:rsidP="00123E24">
      <w:pPr>
        <w:pStyle w:val="Abstract"/>
        <w:spacing w:line="276" w:lineRule="auto"/>
        <w:ind w:firstLine="0"/>
        <w:jc w:val="right"/>
        <w:rPr>
          <w:rFonts w:asciiTheme="minorHAnsi" w:eastAsiaTheme="minorHAnsi" w:hAnsiTheme="minorHAnsi" w:cstheme="minorHAnsi"/>
          <w:i/>
          <w:iCs/>
          <w:kern w:val="2"/>
          <w:sz w:val="28"/>
          <w:szCs w:val="28"/>
          <w:lang w:val="es-MX"/>
          <w14:ligatures w14:val="standardContextual"/>
        </w:rPr>
      </w:pPr>
      <w:r>
        <w:rPr>
          <w:rFonts w:asciiTheme="minorHAnsi" w:eastAsiaTheme="minorHAnsi" w:hAnsiTheme="minorHAnsi" w:cstheme="minorHAnsi"/>
          <w:i/>
          <w:iCs/>
          <w:kern w:val="2"/>
          <w:sz w:val="32"/>
          <w:szCs w:val="32"/>
          <w:lang w:val="es-MX"/>
          <w14:ligatures w14:val="standardContextual"/>
        </w:rPr>
        <w:br/>
      </w:r>
      <w:r w:rsidR="006730A0" w:rsidRPr="00123E24">
        <w:rPr>
          <w:rFonts w:asciiTheme="minorHAnsi" w:eastAsiaTheme="minorHAnsi" w:hAnsiTheme="minorHAnsi" w:cstheme="minorHAnsi"/>
          <w:i/>
          <w:iCs/>
          <w:kern w:val="2"/>
          <w:sz w:val="28"/>
          <w:szCs w:val="28"/>
          <w:lang w:val="es-MX"/>
          <w14:ligatures w14:val="standardContextual"/>
        </w:rPr>
        <w:t xml:space="preserve">Link </w:t>
      </w:r>
      <w:proofErr w:type="spellStart"/>
      <w:r w:rsidR="006730A0" w:rsidRPr="00123E24">
        <w:rPr>
          <w:rFonts w:asciiTheme="minorHAnsi" w:eastAsiaTheme="minorHAnsi" w:hAnsiTheme="minorHAnsi" w:cstheme="minorHAnsi"/>
          <w:i/>
          <w:iCs/>
          <w:kern w:val="2"/>
          <w:sz w:val="28"/>
          <w:szCs w:val="28"/>
          <w:lang w:val="es-MX"/>
          <w14:ligatures w14:val="standardContextual"/>
        </w:rPr>
        <w:t>with</w:t>
      </w:r>
      <w:proofErr w:type="spellEnd"/>
      <w:r w:rsidR="006730A0" w:rsidRPr="00123E24">
        <w:rPr>
          <w:rFonts w:asciiTheme="minorHAnsi" w:eastAsiaTheme="minorHAnsi" w:hAnsiTheme="minorHAnsi" w:cstheme="minorHAnsi"/>
          <w:i/>
          <w:iCs/>
          <w:kern w:val="2"/>
          <w:sz w:val="28"/>
          <w:szCs w:val="28"/>
          <w:lang w:val="es-MX"/>
          <w14:ligatures w14:val="standardContextual"/>
        </w:rPr>
        <w:t xml:space="preserve"> </w:t>
      </w:r>
      <w:proofErr w:type="spellStart"/>
      <w:r w:rsidR="006730A0" w:rsidRPr="00123E24">
        <w:rPr>
          <w:rFonts w:asciiTheme="minorHAnsi" w:eastAsiaTheme="minorHAnsi" w:hAnsiTheme="minorHAnsi" w:cstheme="minorHAnsi"/>
          <w:i/>
          <w:iCs/>
          <w:kern w:val="2"/>
          <w:sz w:val="28"/>
          <w:szCs w:val="28"/>
          <w:lang w:val="es-MX"/>
          <w14:ligatures w14:val="standardContextual"/>
        </w:rPr>
        <w:t>the</w:t>
      </w:r>
      <w:proofErr w:type="spellEnd"/>
      <w:r w:rsidR="006730A0" w:rsidRPr="00123E24">
        <w:rPr>
          <w:rFonts w:asciiTheme="minorHAnsi" w:eastAsiaTheme="minorHAnsi" w:hAnsiTheme="minorHAnsi" w:cstheme="minorHAnsi"/>
          <w:i/>
          <w:iCs/>
          <w:kern w:val="2"/>
          <w:sz w:val="28"/>
          <w:szCs w:val="28"/>
          <w:lang w:val="es-MX"/>
          <w14:ligatures w14:val="standardContextual"/>
        </w:rPr>
        <w:t xml:space="preserve"> </w:t>
      </w:r>
      <w:proofErr w:type="spellStart"/>
      <w:r w:rsidR="006730A0" w:rsidRPr="00123E24">
        <w:rPr>
          <w:rFonts w:asciiTheme="minorHAnsi" w:eastAsiaTheme="minorHAnsi" w:hAnsiTheme="minorHAnsi" w:cstheme="minorHAnsi"/>
          <w:i/>
          <w:iCs/>
          <w:kern w:val="2"/>
          <w:sz w:val="28"/>
          <w:szCs w:val="28"/>
          <w:lang w:val="es-MX"/>
          <w14:ligatures w14:val="standardContextual"/>
        </w:rPr>
        <w:t>environment</w:t>
      </w:r>
      <w:proofErr w:type="spellEnd"/>
      <w:r w:rsidR="006730A0" w:rsidRPr="00123E24">
        <w:rPr>
          <w:rFonts w:asciiTheme="minorHAnsi" w:eastAsiaTheme="minorHAnsi" w:hAnsiTheme="minorHAnsi" w:cstheme="minorHAnsi"/>
          <w:i/>
          <w:iCs/>
          <w:kern w:val="2"/>
          <w:sz w:val="28"/>
          <w:szCs w:val="28"/>
          <w:lang w:val="es-MX"/>
          <w14:ligatures w14:val="standardContextual"/>
        </w:rPr>
        <w:t xml:space="preserve"> and </w:t>
      </w:r>
      <w:proofErr w:type="spellStart"/>
      <w:r w:rsidR="006730A0" w:rsidRPr="00123E24">
        <w:rPr>
          <w:rFonts w:asciiTheme="minorHAnsi" w:eastAsiaTheme="minorHAnsi" w:hAnsiTheme="minorHAnsi" w:cstheme="minorHAnsi"/>
          <w:i/>
          <w:iCs/>
          <w:kern w:val="2"/>
          <w:sz w:val="28"/>
          <w:szCs w:val="28"/>
          <w:lang w:val="es-MX"/>
          <w14:ligatures w14:val="standardContextual"/>
        </w:rPr>
        <w:t>research</w:t>
      </w:r>
      <w:proofErr w:type="spellEnd"/>
      <w:r w:rsidR="006730A0" w:rsidRPr="00123E24">
        <w:rPr>
          <w:rFonts w:asciiTheme="minorHAnsi" w:eastAsiaTheme="minorHAnsi" w:hAnsiTheme="minorHAnsi" w:cstheme="minorHAnsi"/>
          <w:i/>
          <w:iCs/>
          <w:kern w:val="2"/>
          <w:sz w:val="28"/>
          <w:szCs w:val="28"/>
          <w:lang w:val="es-MX"/>
          <w14:ligatures w14:val="standardContextual"/>
        </w:rPr>
        <w:t xml:space="preserve"> training </w:t>
      </w:r>
      <w:proofErr w:type="spellStart"/>
      <w:r w:rsidR="006730A0" w:rsidRPr="00123E24">
        <w:rPr>
          <w:rFonts w:asciiTheme="minorHAnsi" w:eastAsiaTheme="minorHAnsi" w:hAnsiTheme="minorHAnsi" w:cstheme="minorHAnsi"/>
          <w:i/>
          <w:iCs/>
          <w:kern w:val="2"/>
          <w:sz w:val="28"/>
          <w:szCs w:val="28"/>
          <w:lang w:val="es-MX"/>
          <w14:ligatures w14:val="standardContextual"/>
        </w:rPr>
        <w:t>of</w:t>
      </w:r>
      <w:proofErr w:type="spellEnd"/>
      <w:r w:rsidR="006730A0" w:rsidRPr="00123E24">
        <w:rPr>
          <w:rFonts w:asciiTheme="minorHAnsi" w:eastAsiaTheme="minorHAnsi" w:hAnsiTheme="minorHAnsi" w:cstheme="minorHAnsi"/>
          <w:i/>
          <w:iCs/>
          <w:kern w:val="2"/>
          <w:sz w:val="28"/>
          <w:szCs w:val="28"/>
          <w:lang w:val="es-MX"/>
          <w14:ligatures w14:val="standardContextual"/>
        </w:rPr>
        <w:t xml:space="preserve"> </w:t>
      </w:r>
      <w:proofErr w:type="spellStart"/>
      <w:r w:rsidR="006730A0" w:rsidRPr="00123E24">
        <w:rPr>
          <w:rFonts w:asciiTheme="minorHAnsi" w:eastAsiaTheme="minorHAnsi" w:hAnsiTheme="minorHAnsi" w:cstheme="minorHAnsi"/>
          <w:i/>
          <w:iCs/>
          <w:kern w:val="2"/>
          <w:sz w:val="28"/>
          <w:szCs w:val="28"/>
          <w:lang w:val="es-MX"/>
          <w14:ligatures w14:val="standardContextual"/>
        </w:rPr>
        <w:t>graduates</w:t>
      </w:r>
      <w:proofErr w:type="spellEnd"/>
      <w:r w:rsidR="006730A0" w:rsidRPr="00123E24">
        <w:rPr>
          <w:rFonts w:asciiTheme="minorHAnsi" w:eastAsiaTheme="minorHAnsi" w:hAnsiTheme="minorHAnsi" w:cstheme="minorHAnsi"/>
          <w:i/>
          <w:iCs/>
          <w:kern w:val="2"/>
          <w:sz w:val="28"/>
          <w:szCs w:val="28"/>
          <w:lang w:val="es-MX"/>
          <w14:ligatures w14:val="standardContextual"/>
        </w:rPr>
        <w:t xml:space="preserve"> in </w:t>
      </w:r>
      <w:proofErr w:type="spellStart"/>
      <w:r w:rsidR="006730A0" w:rsidRPr="00123E24">
        <w:rPr>
          <w:rFonts w:asciiTheme="minorHAnsi" w:eastAsiaTheme="minorHAnsi" w:hAnsiTheme="minorHAnsi" w:cstheme="minorHAnsi"/>
          <w:i/>
          <w:iCs/>
          <w:kern w:val="2"/>
          <w:sz w:val="28"/>
          <w:szCs w:val="28"/>
          <w:lang w:val="es-MX"/>
          <w14:ligatures w14:val="standardContextual"/>
        </w:rPr>
        <w:t>higher</w:t>
      </w:r>
      <w:proofErr w:type="spellEnd"/>
      <w:r w:rsidR="006730A0" w:rsidRPr="00123E24">
        <w:rPr>
          <w:rFonts w:asciiTheme="minorHAnsi" w:eastAsiaTheme="minorHAnsi" w:hAnsiTheme="minorHAnsi" w:cstheme="minorHAnsi"/>
          <w:i/>
          <w:iCs/>
          <w:kern w:val="2"/>
          <w:sz w:val="28"/>
          <w:szCs w:val="28"/>
          <w:lang w:val="es-MX"/>
          <w14:ligatures w14:val="standardContextual"/>
        </w:rPr>
        <w:t xml:space="preserve"> </w:t>
      </w:r>
      <w:proofErr w:type="spellStart"/>
      <w:r w:rsidR="006730A0" w:rsidRPr="00123E24">
        <w:rPr>
          <w:rFonts w:asciiTheme="minorHAnsi" w:eastAsiaTheme="minorHAnsi" w:hAnsiTheme="minorHAnsi" w:cstheme="minorHAnsi"/>
          <w:i/>
          <w:iCs/>
          <w:kern w:val="2"/>
          <w:sz w:val="28"/>
          <w:szCs w:val="28"/>
          <w:lang w:val="es-MX"/>
          <w14:ligatures w14:val="standardContextual"/>
        </w:rPr>
        <w:t>education</w:t>
      </w:r>
      <w:proofErr w:type="spellEnd"/>
      <w:r w:rsidR="006730A0" w:rsidRPr="00123E24">
        <w:rPr>
          <w:rFonts w:asciiTheme="minorHAnsi" w:eastAsiaTheme="minorHAnsi" w:hAnsiTheme="minorHAnsi" w:cstheme="minorHAnsi"/>
          <w:i/>
          <w:iCs/>
          <w:kern w:val="2"/>
          <w:sz w:val="28"/>
          <w:szCs w:val="28"/>
          <w:lang w:val="es-MX"/>
          <w14:ligatures w14:val="standardContextual"/>
        </w:rPr>
        <w:t xml:space="preserve">: </w:t>
      </w:r>
      <w:proofErr w:type="spellStart"/>
      <w:r w:rsidR="006730A0" w:rsidRPr="00123E24">
        <w:rPr>
          <w:rFonts w:asciiTheme="minorHAnsi" w:eastAsiaTheme="minorHAnsi" w:hAnsiTheme="minorHAnsi" w:cstheme="minorHAnsi"/>
          <w:i/>
          <w:iCs/>
          <w:kern w:val="2"/>
          <w:sz w:val="28"/>
          <w:szCs w:val="28"/>
          <w:lang w:val="es-MX"/>
          <w14:ligatures w14:val="standardContextual"/>
        </w:rPr>
        <w:t>Methodological</w:t>
      </w:r>
      <w:proofErr w:type="spellEnd"/>
      <w:r w:rsidR="006730A0" w:rsidRPr="00123E24">
        <w:rPr>
          <w:rFonts w:asciiTheme="minorHAnsi" w:eastAsiaTheme="minorHAnsi" w:hAnsiTheme="minorHAnsi" w:cstheme="minorHAnsi"/>
          <w:i/>
          <w:iCs/>
          <w:kern w:val="2"/>
          <w:sz w:val="28"/>
          <w:szCs w:val="28"/>
          <w:lang w:val="es-MX"/>
          <w14:ligatures w14:val="standardContextual"/>
        </w:rPr>
        <w:t xml:space="preserve"> </w:t>
      </w:r>
      <w:proofErr w:type="spellStart"/>
      <w:r w:rsidR="006730A0" w:rsidRPr="00123E24">
        <w:rPr>
          <w:rFonts w:asciiTheme="minorHAnsi" w:eastAsiaTheme="minorHAnsi" w:hAnsiTheme="minorHAnsi" w:cstheme="minorHAnsi"/>
          <w:i/>
          <w:iCs/>
          <w:kern w:val="2"/>
          <w:sz w:val="28"/>
          <w:szCs w:val="28"/>
          <w:lang w:val="es-MX"/>
          <w14:ligatures w14:val="standardContextual"/>
        </w:rPr>
        <w:t>approaches</w:t>
      </w:r>
      <w:proofErr w:type="spellEnd"/>
    </w:p>
    <w:p w14:paraId="03297EC9" w14:textId="77777777" w:rsidR="006730A0" w:rsidRPr="006730A0" w:rsidRDefault="006730A0" w:rsidP="006730A0">
      <w:pPr>
        <w:rPr>
          <w:rFonts w:asciiTheme="minorHAnsi" w:hAnsiTheme="minorHAnsi" w:cstheme="minorHAnsi"/>
          <w:lang w:val="es-CL"/>
        </w:rPr>
      </w:pPr>
    </w:p>
    <w:p w14:paraId="716914DB" w14:textId="77777777" w:rsidR="006730A0" w:rsidRPr="006730A0" w:rsidRDefault="006730A0" w:rsidP="006730A0">
      <w:pPr>
        <w:rPr>
          <w:rFonts w:asciiTheme="minorHAnsi" w:hAnsiTheme="minorHAnsi" w:cstheme="minorHAnsi"/>
          <w:lang w:val="es-CL"/>
        </w:rPr>
      </w:pPr>
    </w:p>
    <w:p w14:paraId="2D10CD68" w14:textId="46126AF5" w:rsidR="008377FF" w:rsidRPr="006730A0" w:rsidRDefault="008377FF" w:rsidP="00123E24">
      <w:pPr>
        <w:spacing w:line="276" w:lineRule="auto"/>
        <w:jc w:val="right"/>
        <w:rPr>
          <w:rFonts w:asciiTheme="minorHAnsi" w:hAnsiTheme="minorHAnsi" w:cstheme="minorHAnsi"/>
          <w:b/>
          <w:bCs/>
          <w:sz w:val="24"/>
          <w:szCs w:val="24"/>
          <w:lang w:val="es-ES"/>
        </w:rPr>
      </w:pPr>
      <w:proofErr w:type="spellStart"/>
      <w:r w:rsidRPr="006730A0">
        <w:rPr>
          <w:rFonts w:asciiTheme="minorHAnsi" w:hAnsiTheme="minorHAnsi" w:cstheme="minorHAnsi"/>
          <w:b/>
          <w:bCs/>
          <w:sz w:val="24"/>
          <w:szCs w:val="24"/>
          <w:lang w:val="es-ES"/>
        </w:rPr>
        <w:t>Illiriam</w:t>
      </w:r>
      <w:proofErr w:type="spellEnd"/>
      <w:r w:rsidRPr="006730A0">
        <w:rPr>
          <w:rFonts w:asciiTheme="minorHAnsi" w:hAnsiTheme="minorHAnsi" w:cstheme="minorHAnsi"/>
          <w:b/>
          <w:bCs/>
          <w:sz w:val="24"/>
          <w:szCs w:val="24"/>
          <w:lang w:val="es-ES"/>
        </w:rPr>
        <w:t xml:space="preserve"> Quintero Dávila</w:t>
      </w:r>
    </w:p>
    <w:p w14:paraId="78A4E9BE" w14:textId="421D1789" w:rsidR="008377FF" w:rsidRPr="00123E24" w:rsidRDefault="008377FF" w:rsidP="00123E24">
      <w:pPr>
        <w:spacing w:line="276" w:lineRule="auto"/>
        <w:jc w:val="right"/>
        <w:rPr>
          <w:rStyle w:val="nfasis"/>
          <w:i w:val="0"/>
          <w:iCs w:val="0"/>
          <w:sz w:val="24"/>
          <w:szCs w:val="24"/>
          <w:shd w:val="clear" w:color="auto" w:fill="FFFFFF"/>
          <w:lang w:val="es-US"/>
        </w:rPr>
      </w:pPr>
      <w:r w:rsidRPr="00123E24">
        <w:rPr>
          <w:sz w:val="24"/>
          <w:szCs w:val="24"/>
          <w:lang w:val="es-ES"/>
        </w:rPr>
        <w:t>TecNM-Instituto</w:t>
      </w:r>
      <w:r w:rsidRPr="00123E24">
        <w:rPr>
          <w:sz w:val="24"/>
          <w:szCs w:val="24"/>
          <w:shd w:val="clear" w:color="auto" w:fill="FFFFFF"/>
          <w:lang w:val="es-US"/>
        </w:rPr>
        <w:t xml:space="preserve"> Tecnológico Superior del Oriente del Estado de </w:t>
      </w:r>
      <w:r w:rsidRPr="00123E24">
        <w:rPr>
          <w:rStyle w:val="nfasis"/>
          <w:i w:val="0"/>
          <w:iCs w:val="0"/>
          <w:sz w:val="24"/>
          <w:szCs w:val="24"/>
          <w:shd w:val="clear" w:color="auto" w:fill="FFFFFF"/>
          <w:lang w:val="es-US"/>
        </w:rPr>
        <w:t>Hidalgo</w:t>
      </w:r>
      <w:r w:rsidR="001714E5" w:rsidRPr="00123E24">
        <w:rPr>
          <w:rStyle w:val="nfasis"/>
          <w:i w:val="0"/>
          <w:iCs w:val="0"/>
          <w:sz w:val="24"/>
          <w:szCs w:val="24"/>
          <w:shd w:val="clear" w:color="auto" w:fill="FFFFFF"/>
          <w:lang w:val="es-US"/>
        </w:rPr>
        <w:t xml:space="preserve"> (ITESA)</w:t>
      </w:r>
      <w:r w:rsidRPr="00123E24">
        <w:rPr>
          <w:rStyle w:val="nfasis"/>
          <w:i w:val="0"/>
          <w:iCs w:val="0"/>
          <w:sz w:val="24"/>
          <w:szCs w:val="24"/>
          <w:shd w:val="clear" w:color="auto" w:fill="FFFFFF"/>
          <w:lang w:val="es-US"/>
        </w:rPr>
        <w:t>, México</w:t>
      </w:r>
    </w:p>
    <w:p w14:paraId="6D3BE75A" w14:textId="0A02CA78" w:rsidR="006730A0" w:rsidRPr="006730A0" w:rsidRDefault="006730A0" w:rsidP="00123E24">
      <w:pPr>
        <w:spacing w:line="276" w:lineRule="auto"/>
        <w:jc w:val="right"/>
        <w:rPr>
          <w:rFonts w:asciiTheme="minorHAnsi" w:hAnsiTheme="minorHAnsi" w:cstheme="minorHAnsi"/>
          <w:color w:val="222222"/>
          <w:sz w:val="24"/>
          <w:szCs w:val="24"/>
          <w:shd w:val="clear" w:color="auto" w:fill="FFFFFF"/>
          <w:lang w:val="es-US"/>
        </w:rPr>
      </w:pPr>
      <w:r w:rsidRPr="006730A0">
        <w:rPr>
          <w:rStyle w:val="nfasis"/>
          <w:rFonts w:asciiTheme="minorHAnsi" w:hAnsiTheme="minorHAnsi" w:cstheme="minorHAnsi"/>
          <w:i w:val="0"/>
          <w:iCs w:val="0"/>
          <w:sz w:val="24"/>
          <w:szCs w:val="24"/>
          <w:shd w:val="clear" w:color="auto" w:fill="FFFFFF"/>
          <w:lang w:val="es-US"/>
        </w:rPr>
        <w:t xml:space="preserve"> </w:t>
      </w:r>
      <w:r w:rsidR="008377FF" w:rsidRPr="00123E24">
        <w:rPr>
          <w:rFonts w:asciiTheme="minorHAnsi" w:hAnsiTheme="minorHAnsi" w:cstheme="minorHAnsi"/>
          <w:color w:val="FF0000"/>
          <w:sz w:val="24"/>
          <w:szCs w:val="24"/>
          <w:shd w:val="clear" w:color="auto" w:fill="FFFFFF"/>
          <w:lang w:val="es-US"/>
        </w:rPr>
        <w:t>iquintero@itesa.edu.mx</w:t>
      </w:r>
      <w:r w:rsidR="008377FF" w:rsidRPr="006730A0">
        <w:rPr>
          <w:rFonts w:asciiTheme="minorHAnsi" w:hAnsiTheme="minorHAnsi" w:cstheme="minorHAnsi"/>
          <w:color w:val="222222"/>
          <w:sz w:val="24"/>
          <w:szCs w:val="24"/>
          <w:shd w:val="clear" w:color="auto" w:fill="FFFFFF"/>
          <w:lang w:val="es-US"/>
        </w:rPr>
        <w:t xml:space="preserve">  </w:t>
      </w:r>
    </w:p>
    <w:p w14:paraId="69A80B7E" w14:textId="665530BE" w:rsidR="008377FF" w:rsidRPr="00123E24" w:rsidRDefault="00241980" w:rsidP="00123E24">
      <w:pPr>
        <w:spacing w:line="276" w:lineRule="auto"/>
        <w:jc w:val="right"/>
        <w:rPr>
          <w:lang w:val="es-US"/>
        </w:rPr>
      </w:pPr>
      <w:r w:rsidRPr="00123E24">
        <w:rPr>
          <w:sz w:val="24"/>
          <w:szCs w:val="24"/>
          <w:shd w:val="clear" w:color="auto" w:fill="FFFFFF"/>
          <w:lang w:val="es-US"/>
        </w:rPr>
        <w:t>https://orcid.org/</w:t>
      </w:r>
      <w:r w:rsidR="001714E5" w:rsidRPr="00123E24">
        <w:rPr>
          <w:sz w:val="24"/>
          <w:szCs w:val="24"/>
          <w:shd w:val="clear" w:color="auto" w:fill="FFFFFF"/>
          <w:lang w:val="es-US"/>
        </w:rPr>
        <w:t>0000-0002-8095-1628</w:t>
      </w:r>
    </w:p>
    <w:p w14:paraId="34742639" w14:textId="77777777" w:rsidR="006730A0" w:rsidRPr="006730A0" w:rsidRDefault="006730A0" w:rsidP="00123E24">
      <w:pPr>
        <w:spacing w:line="276" w:lineRule="auto"/>
        <w:jc w:val="right"/>
        <w:rPr>
          <w:rFonts w:asciiTheme="minorHAnsi" w:hAnsiTheme="minorHAnsi" w:cstheme="minorHAnsi"/>
          <w:b/>
          <w:bCs/>
          <w:color w:val="000000"/>
          <w:sz w:val="24"/>
          <w:szCs w:val="24"/>
          <w:lang w:val="es-CL"/>
        </w:rPr>
      </w:pPr>
    </w:p>
    <w:p w14:paraId="6ECDC925" w14:textId="4B9E1EE8" w:rsidR="008377FF" w:rsidRPr="006730A0" w:rsidRDefault="008377FF" w:rsidP="00123E24">
      <w:pPr>
        <w:spacing w:line="276" w:lineRule="auto"/>
        <w:jc w:val="right"/>
        <w:rPr>
          <w:rFonts w:asciiTheme="minorHAnsi" w:hAnsiTheme="minorHAnsi" w:cstheme="minorHAnsi"/>
          <w:b/>
          <w:bCs/>
          <w:color w:val="000000"/>
          <w:sz w:val="24"/>
          <w:szCs w:val="24"/>
          <w:lang w:val="es-CL"/>
        </w:rPr>
      </w:pPr>
      <w:r w:rsidRPr="006730A0">
        <w:rPr>
          <w:rFonts w:asciiTheme="minorHAnsi" w:hAnsiTheme="minorHAnsi" w:cstheme="minorHAnsi"/>
          <w:b/>
          <w:bCs/>
          <w:color w:val="000000"/>
          <w:sz w:val="24"/>
          <w:szCs w:val="24"/>
          <w:lang w:val="es-CL"/>
        </w:rPr>
        <w:t>Vicente Eugenio León Hernández</w:t>
      </w:r>
      <w:r w:rsidR="001714E5" w:rsidRPr="006730A0">
        <w:rPr>
          <w:rFonts w:asciiTheme="minorHAnsi" w:hAnsiTheme="minorHAnsi" w:cstheme="minorHAnsi"/>
          <w:b/>
          <w:bCs/>
          <w:color w:val="000000"/>
          <w:sz w:val="24"/>
          <w:szCs w:val="24"/>
          <w:lang w:val="es-CL"/>
        </w:rPr>
        <w:t xml:space="preserve"> </w:t>
      </w:r>
    </w:p>
    <w:p w14:paraId="67AA919E" w14:textId="0C148553" w:rsidR="008377FF" w:rsidRPr="00123E24" w:rsidRDefault="008377FF" w:rsidP="00123E24">
      <w:pPr>
        <w:spacing w:line="276" w:lineRule="auto"/>
        <w:jc w:val="right"/>
        <w:rPr>
          <w:sz w:val="24"/>
          <w:szCs w:val="24"/>
          <w:lang w:val="es-ES"/>
        </w:rPr>
      </w:pPr>
      <w:r w:rsidRPr="00123E24">
        <w:rPr>
          <w:sz w:val="24"/>
          <w:szCs w:val="24"/>
          <w:lang w:val="es-ES"/>
        </w:rPr>
        <w:t>Universidad de Pinar del Río, CUM San Juan</w:t>
      </w:r>
      <w:r w:rsidR="00817535" w:rsidRPr="00123E24">
        <w:rPr>
          <w:sz w:val="24"/>
          <w:szCs w:val="24"/>
          <w:lang w:val="es-ES"/>
        </w:rPr>
        <w:t xml:space="preserve"> y Martínez</w:t>
      </w:r>
      <w:r w:rsidRPr="00123E24">
        <w:rPr>
          <w:sz w:val="24"/>
          <w:szCs w:val="24"/>
          <w:lang w:val="es-ES"/>
        </w:rPr>
        <w:t xml:space="preserve">, Cuba </w:t>
      </w:r>
    </w:p>
    <w:p w14:paraId="22EC8273" w14:textId="23AA1AEA" w:rsidR="006730A0" w:rsidRPr="00123E24" w:rsidRDefault="006730A0" w:rsidP="00123E24">
      <w:pPr>
        <w:spacing w:line="276" w:lineRule="auto"/>
        <w:jc w:val="right"/>
        <w:rPr>
          <w:rFonts w:asciiTheme="minorHAnsi" w:hAnsiTheme="minorHAnsi" w:cstheme="minorHAnsi"/>
          <w:color w:val="FF0000"/>
          <w:sz w:val="24"/>
          <w:szCs w:val="24"/>
          <w:shd w:val="clear" w:color="auto" w:fill="FFFFFF"/>
          <w:lang w:val="es-US"/>
        </w:rPr>
      </w:pPr>
      <w:r w:rsidRPr="006730A0">
        <w:rPr>
          <w:rFonts w:asciiTheme="minorHAnsi" w:hAnsiTheme="minorHAnsi" w:cstheme="minorHAnsi"/>
          <w:sz w:val="24"/>
          <w:szCs w:val="24"/>
          <w:lang w:val="es-US"/>
        </w:rPr>
        <w:t xml:space="preserve"> </w:t>
      </w:r>
      <w:r w:rsidR="008377FF" w:rsidRPr="00123E24">
        <w:rPr>
          <w:rFonts w:asciiTheme="minorHAnsi" w:hAnsiTheme="minorHAnsi" w:cstheme="minorHAnsi"/>
          <w:color w:val="FF0000"/>
          <w:sz w:val="24"/>
          <w:szCs w:val="24"/>
          <w:shd w:val="clear" w:color="auto" w:fill="FFFFFF"/>
          <w:lang w:val="es-US"/>
        </w:rPr>
        <w:t xml:space="preserve">vleon@upr.edu.cu </w:t>
      </w:r>
    </w:p>
    <w:p w14:paraId="15A139EF" w14:textId="4412DE72" w:rsidR="008377FF" w:rsidRPr="00123E24" w:rsidRDefault="00241980" w:rsidP="00123E24">
      <w:pPr>
        <w:spacing w:line="276" w:lineRule="auto"/>
        <w:jc w:val="right"/>
        <w:rPr>
          <w:sz w:val="24"/>
          <w:szCs w:val="24"/>
          <w:shd w:val="clear" w:color="auto" w:fill="FFFFFF"/>
          <w:lang w:val="es-US"/>
        </w:rPr>
      </w:pPr>
      <w:r w:rsidRPr="00123E24">
        <w:rPr>
          <w:sz w:val="24"/>
          <w:szCs w:val="24"/>
          <w:shd w:val="clear" w:color="auto" w:fill="FFFFFF"/>
          <w:lang w:val="es-US"/>
        </w:rPr>
        <w:t>https://orcid.org/</w:t>
      </w:r>
      <w:r w:rsidR="001714E5" w:rsidRPr="00123E24">
        <w:rPr>
          <w:sz w:val="24"/>
          <w:szCs w:val="24"/>
          <w:shd w:val="clear" w:color="auto" w:fill="FFFFFF"/>
          <w:lang w:val="es-US"/>
        </w:rPr>
        <w:t>0000-0001-5247-3174</w:t>
      </w:r>
    </w:p>
    <w:p w14:paraId="67A560B8" w14:textId="77777777" w:rsidR="008377FF" w:rsidRPr="006730A0" w:rsidRDefault="008377FF" w:rsidP="006730A0">
      <w:pPr>
        <w:pStyle w:val="Abstract"/>
        <w:ind w:firstLine="0"/>
        <w:jc w:val="right"/>
        <w:rPr>
          <w:rFonts w:asciiTheme="minorHAnsi" w:hAnsiTheme="minorHAnsi" w:cstheme="minorHAnsi"/>
          <w:b w:val="0"/>
          <w:bCs w:val="0"/>
          <w:sz w:val="24"/>
          <w:szCs w:val="24"/>
          <w:lang w:val="es-CL"/>
        </w:rPr>
      </w:pPr>
    </w:p>
    <w:p w14:paraId="4ADFAF49" w14:textId="77777777" w:rsidR="006730A0" w:rsidRPr="006730A0" w:rsidRDefault="006730A0" w:rsidP="006730A0">
      <w:pPr>
        <w:rPr>
          <w:rFonts w:asciiTheme="minorHAnsi" w:hAnsiTheme="minorHAnsi" w:cstheme="minorHAnsi"/>
        </w:rPr>
      </w:pPr>
    </w:p>
    <w:p w14:paraId="0254672E" w14:textId="26300E2F" w:rsidR="006730A0" w:rsidRPr="00123E24" w:rsidRDefault="006730A0" w:rsidP="006730A0">
      <w:pPr>
        <w:pStyle w:val="Abstract"/>
        <w:spacing w:line="360" w:lineRule="auto"/>
        <w:ind w:firstLine="0"/>
        <w:rPr>
          <w:b w:val="0"/>
          <w:bCs w:val="0"/>
          <w:sz w:val="24"/>
          <w:szCs w:val="24"/>
          <w:lang w:val="es-CL"/>
        </w:rPr>
      </w:pPr>
      <w:r w:rsidRPr="00123E24">
        <w:rPr>
          <w:sz w:val="24"/>
          <w:szCs w:val="24"/>
          <w:lang w:val="es-CL"/>
        </w:rPr>
        <w:t>Resumen</w:t>
      </w:r>
    </w:p>
    <w:p w14:paraId="54AAF5C9" w14:textId="29B4FF8C" w:rsidR="006730A0" w:rsidRPr="00123E24" w:rsidRDefault="006730A0" w:rsidP="00123E24">
      <w:pPr>
        <w:pStyle w:val="Abstract"/>
        <w:spacing w:line="360" w:lineRule="auto"/>
        <w:ind w:firstLine="0"/>
        <w:rPr>
          <w:b w:val="0"/>
          <w:bCs w:val="0"/>
          <w:sz w:val="24"/>
          <w:szCs w:val="24"/>
          <w:lang w:val="es-CL"/>
        </w:rPr>
      </w:pPr>
      <w:r w:rsidRPr="00123E24">
        <w:rPr>
          <w:b w:val="0"/>
          <w:bCs w:val="0"/>
          <w:sz w:val="24"/>
          <w:szCs w:val="24"/>
          <w:lang w:val="es-CL"/>
        </w:rPr>
        <w:t xml:space="preserve">La formación investigativa de los estudiantes en la universidad es uno de los procesos que condicionan la calidad y pertinencia del proceso de formación y empleabilidad del egresado. La vinculación con el medio es por excelencia un mecanismo vital para viabilizar las necesidades formativas en materia de investigación y a la vez diseñar procesos de formación en el continuo universidad -empresa. En esta ponencia se describen los fundamentos principales de la formación investigativa y la vinculación con el medio, identificando un conjunto de barreras que obstaculizan la formación investigativa. Finalmente se propone una ruta metodológica que permite la consolidación de la vinculación como herramienta para lograr los objetivos del proceso de formación investigativa a partir del abordaje de aspectos, </w:t>
      </w:r>
      <w:proofErr w:type="spellStart"/>
      <w:r w:rsidRPr="00123E24">
        <w:rPr>
          <w:b w:val="0"/>
          <w:bCs w:val="0"/>
          <w:sz w:val="24"/>
          <w:szCs w:val="24"/>
          <w:lang w:val="es-CL"/>
        </w:rPr>
        <w:t>socioprofesionales</w:t>
      </w:r>
      <w:proofErr w:type="spellEnd"/>
      <w:r w:rsidRPr="00123E24">
        <w:rPr>
          <w:b w:val="0"/>
          <w:bCs w:val="0"/>
          <w:sz w:val="24"/>
          <w:szCs w:val="24"/>
          <w:lang w:val="es-CL"/>
        </w:rPr>
        <w:t xml:space="preserve">, pedagógicos, didácticas y curriculares de los modelos de formación y su gestión. </w:t>
      </w:r>
    </w:p>
    <w:p w14:paraId="3DA4100A" w14:textId="77777777" w:rsidR="006730A0" w:rsidRPr="00123E24" w:rsidRDefault="006730A0" w:rsidP="006730A0">
      <w:pPr>
        <w:spacing w:line="360" w:lineRule="auto"/>
        <w:jc w:val="both"/>
        <w:rPr>
          <w:color w:val="000000"/>
          <w:sz w:val="24"/>
          <w:szCs w:val="24"/>
          <w:lang w:val="es-ES"/>
        </w:rPr>
      </w:pPr>
      <w:r w:rsidRPr="00123E24">
        <w:rPr>
          <w:b/>
          <w:bCs/>
          <w:color w:val="000000"/>
          <w:sz w:val="24"/>
          <w:szCs w:val="24"/>
          <w:lang w:val="es-CL"/>
        </w:rPr>
        <w:t>Palabras Claves:</w:t>
      </w:r>
      <w:r w:rsidRPr="00123E24">
        <w:rPr>
          <w:color w:val="000000"/>
          <w:sz w:val="24"/>
          <w:szCs w:val="24"/>
          <w:lang w:val="es-CL"/>
        </w:rPr>
        <w:t xml:space="preserve"> </w:t>
      </w:r>
      <w:r w:rsidRPr="00123E24">
        <w:rPr>
          <w:color w:val="000000"/>
          <w:sz w:val="24"/>
          <w:szCs w:val="24"/>
          <w:lang w:val="es-ES"/>
        </w:rPr>
        <w:t xml:space="preserve">vinculación con el medio, formación investigativa, ruta metodológica. </w:t>
      </w:r>
    </w:p>
    <w:p w14:paraId="5CDB70AE" w14:textId="77777777" w:rsidR="00123E24" w:rsidRDefault="00123E24" w:rsidP="006730A0">
      <w:pPr>
        <w:spacing w:line="360" w:lineRule="auto"/>
        <w:jc w:val="both"/>
        <w:rPr>
          <w:b/>
          <w:bCs/>
          <w:color w:val="000000"/>
          <w:sz w:val="24"/>
          <w:szCs w:val="24"/>
        </w:rPr>
      </w:pPr>
    </w:p>
    <w:p w14:paraId="39BC1AF7" w14:textId="77777777" w:rsidR="00123E24" w:rsidRDefault="00123E24" w:rsidP="006730A0">
      <w:pPr>
        <w:spacing w:line="360" w:lineRule="auto"/>
        <w:jc w:val="both"/>
        <w:rPr>
          <w:b/>
          <w:bCs/>
          <w:color w:val="000000"/>
          <w:sz w:val="24"/>
          <w:szCs w:val="24"/>
        </w:rPr>
      </w:pPr>
    </w:p>
    <w:p w14:paraId="7980CD48" w14:textId="77777777" w:rsidR="00123E24" w:rsidRDefault="00123E24" w:rsidP="006730A0">
      <w:pPr>
        <w:spacing w:line="360" w:lineRule="auto"/>
        <w:jc w:val="both"/>
        <w:rPr>
          <w:b/>
          <w:bCs/>
          <w:color w:val="000000"/>
          <w:sz w:val="24"/>
          <w:szCs w:val="24"/>
        </w:rPr>
      </w:pPr>
    </w:p>
    <w:p w14:paraId="6A6609DD" w14:textId="77777777" w:rsidR="00123E24" w:rsidRDefault="00123E24" w:rsidP="006730A0">
      <w:pPr>
        <w:spacing w:line="360" w:lineRule="auto"/>
        <w:jc w:val="both"/>
        <w:rPr>
          <w:b/>
          <w:bCs/>
          <w:color w:val="000000"/>
          <w:sz w:val="24"/>
          <w:szCs w:val="24"/>
        </w:rPr>
      </w:pPr>
    </w:p>
    <w:p w14:paraId="67D1B2B2" w14:textId="77777777" w:rsidR="00123E24" w:rsidRDefault="00123E24" w:rsidP="006730A0">
      <w:pPr>
        <w:spacing w:line="360" w:lineRule="auto"/>
        <w:jc w:val="both"/>
        <w:rPr>
          <w:b/>
          <w:bCs/>
          <w:color w:val="000000"/>
          <w:sz w:val="24"/>
          <w:szCs w:val="24"/>
        </w:rPr>
      </w:pPr>
    </w:p>
    <w:p w14:paraId="79296E20" w14:textId="77777777" w:rsidR="00123E24" w:rsidRPr="00123E24" w:rsidRDefault="00123E24" w:rsidP="006730A0">
      <w:pPr>
        <w:spacing w:line="360" w:lineRule="auto"/>
        <w:jc w:val="both"/>
        <w:rPr>
          <w:b/>
          <w:bCs/>
          <w:color w:val="000000"/>
          <w:sz w:val="24"/>
          <w:szCs w:val="24"/>
        </w:rPr>
      </w:pPr>
    </w:p>
    <w:p w14:paraId="50B7BAEC" w14:textId="1C0CEC22" w:rsidR="00241980" w:rsidRPr="00123E24" w:rsidRDefault="00241980" w:rsidP="006730A0">
      <w:pPr>
        <w:spacing w:line="360" w:lineRule="auto"/>
        <w:jc w:val="both"/>
        <w:rPr>
          <w:b/>
          <w:bCs/>
          <w:color w:val="000000"/>
          <w:sz w:val="24"/>
          <w:szCs w:val="24"/>
        </w:rPr>
      </w:pPr>
      <w:r w:rsidRPr="00123E24">
        <w:rPr>
          <w:b/>
          <w:bCs/>
          <w:color w:val="000000"/>
          <w:sz w:val="24"/>
          <w:szCs w:val="24"/>
        </w:rPr>
        <w:lastRenderedPageBreak/>
        <w:t>Abstract</w:t>
      </w:r>
    </w:p>
    <w:p w14:paraId="13799186" w14:textId="4572C221" w:rsidR="008377FF" w:rsidRPr="00123E24" w:rsidRDefault="00241980" w:rsidP="00123E24">
      <w:pPr>
        <w:spacing w:line="360" w:lineRule="auto"/>
        <w:jc w:val="both"/>
        <w:rPr>
          <w:color w:val="000000"/>
          <w:sz w:val="24"/>
          <w:szCs w:val="24"/>
        </w:rPr>
      </w:pPr>
      <w:r w:rsidRPr="00123E24">
        <w:rPr>
          <w:color w:val="000000"/>
          <w:sz w:val="24"/>
          <w:szCs w:val="24"/>
        </w:rPr>
        <w:t>The research training of students at the university is one of the processes that determine the quality and relevance of the training and employability process of the graduate. The link with the environment is par excellence a vital mechanism to enable training needs in research and at the same time design training processes in the university-business continuum. This paper describes the main foundations of research training and the connection with the environment, identifying a set of barriers that hinder research training. Finally, a methodological route is proposed that allows the consolidation of the link as a tool to achieve the objectives of the investigative training process by addressing socio-professional, pedagogical, didactic and curricular aspects of the training models and their management.</w:t>
      </w:r>
    </w:p>
    <w:p w14:paraId="706D8A8D" w14:textId="5E8E333E" w:rsidR="00241980" w:rsidRDefault="00241980" w:rsidP="006730A0">
      <w:pPr>
        <w:spacing w:line="360" w:lineRule="auto"/>
        <w:rPr>
          <w:sz w:val="24"/>
          <w:szCs w:val="24"/>
          <w:lang w:val="es-CL"/>
        </w:rPr>
      </w:pPr>
      <w:r w:rsidRPr="00123E24">
        <w:rPr>
          <w:b/>
          <w:bCs/>
          <w:sz w:val="24"/>
          <w:szCs w:val="24"/>
          <w:lang w:val="es-CL"/>
        </w:rPr>
        <w:t>Keywords</w:t>
      </w:r>
      <w:r w:rsidRPr="00123E24">
        <w:rPr>
          <w:sz w:val="24"/>
          <w:szCs w:val="24"/>
          <w:lang w:val="es-CL"/>
        </w:rPr>
        <w:t xml:space="preserve">: connection with the environment, </w:t>
      </w:r>
      <w:proofErr w:type="spellStart"/>
      <w:r w:rsidRPr="00123E24">
        <w:rPr>
          <w:sz w:val="24"/>
          <w:szCs w:val="24"/>
          <w:lang w:val="es-CL"/>
        </w:rPr>
        <w:t>research</w:t>
      </w:r>
      <w:proofErr w:type="spellEnd"/>
      <w:r w:rsidRPr="00123E24">
        <w:rPr>
          <w:sz w:val="24"/>
          <w:szCs w:val="24"/>
          <w:lang w:val="es-CL"/>
        </w:rPr>
        <w:t xml:space="preserve"> training, </w:t>
      </w:r>
      <w:proofErr w:type="spellStart"/>
      <w:r w:rsidRPr="00123E24">
        <w:rPr>
          <w:sz w:val="24"/>
          <w:szCs w:val="24"/>
          <w:lang w:val="es-CL"/>
        </w:rPr>
        <w:t>methodological</w:t>
      </w:r>
      <w:proofErr w:type="spellEnd"/>
      <w:r w:rsidRPr="00123E24">
        <w:rPr>
          <w:sz w:val="24"/>
          <w:szCs w:val="24"/>
          <w:lang w:val="es-CL"/>
        </w:rPr>
        <w:t xml:space="preserve"> </w:t>
      </w:r>
      <w:proofErr w:type="spellStart"/>
      <w:r w:rsidRPr="00123E24">
        <w:rPr>
          <w:sz w:val="24"/>
          <w:szCs w:val="24"/>
          <w:lang w:val="es-CL"/>
        </w:rPr>
        <w:t>route</w:t>
      </w:r>
      <w:proofErr w:type="spellEnd"/>
      <w:r w:rsidR="00123E24">
        <w:rPr>
          <w:sz w:val="24"/>
          <w:szCs w:val="24"/>
          <w:lang w:val="es-CL"/>
        </w:rPr>
        <w:t>.</w:t>
      </w:r>
    </w:p>
    <w:p w14:paraId="4924F0E4" w14:textId="77777777" w:rsidR="00123E24" w:rsidRPr="00EE5EED" w:rsidRDefault="00123E24" w:rsidP="00123E24">
      <w:pPr>
        <w:spacing w:line="360" w:lineRule="auto"/>
        <w:jc w:val="both"/>
        <w:rPr>
          <w:sz w:val="24"/>
          <w:szCs w:val="24"/>
        </w:rPr>
      </w:pPr>
      <w:proofErr w:type="spellStart"/>
      <w:r w:rsidRPr="00EE5EED">
        <w:rPr>
          <w:b/>
          <w:sz w:val="24"/>
          <w:szCs w:val="24"/>
        </w:rPr>
        <w:t>Fecha</w:t>
      </w:r>
      <w:proofErr w:type="spellEnd"/>
      <w:r w:rsidRPr="00EE5EED">
        <w:rPr>
          <w:b/>
          <w:sz w:val="24"/>
          <w:szCs w:val="24"/>
        </w:rPr>
        <w:t xml:space="preserve"> </w:t>
      </w:r>
      <w:proofErr w:type="spellStart"/>
      <w:r w:rsidRPr="00EE5EED">
        <w:rPr>
          <w:b/>
          <w:sz w:val="24"/>
          <w:szCs w:val="24"/>
        </w:rPr>
        <w:t>Recepción</w:t>
      </w:r>
      <w:proofErr w:type="spellEnd"/>
      <w:r w:rsidRPr="00EE5EED">
        <w:rPr>
          <w:b/>
          <w:sz w:val="24"/>
          <w:szCs w:val="24"/>
        </w:rPr>
        <w:t>:</w:t>
      </w:r>
      <w:r w:rsidRPr="00EE5EED">
        <w:rPr>
          <w:sz w:val="24"/>
          <w:szCs w:val="24"/>
        </w:rPr>
        <w:t xml:space="preserve"> </w:t>
      </w:r>
      <w:r>
        <w:rPr>
          <w:sz w:val="24"/>
          <w:szCs w:val="24"/>
        </w:rPr>
        <w:t>Junio</w:t>
      </w:r>
      <w:r w:rsidRPr="00EE5EED">
        <w:rPr>
          <w:sz w:val="24"/>
          <w:szCs w:val="24"/>
        </w:rPr>
        <w:t xml:space="preserve"> 2023                              </w:t>
      </w:r>
      <w:r>
        <w:rPr>
          <w:sz w:val="24"/>
          <w:szCs w:val="24"/>
        </w:rPr>
        <w:t xml:space="preserve">              </w:t>
      </w:r>
      <w:proofErr w:type="spellStart"/>
      <w:r w:rsidRPr="00EE5EED">
        <w:rPr>
          <w:b/>
          <w:sz w:val="24"/>
          <w:szCs w:val="24"/>
        </w:rPr>
        <w:t>Fecha</w:t>
      </w:r>
      <w:proofErr w:type="spellEnd"/>
      <w:r w:rsidRPr="00EE5EED">
        <w:rPr>
          <w:b/>
          <w:sz w:val="24"/>
          <w:szCs w:val="24"/>
        </w:rPr>
        <w:t xml:space="preserve"> </w:t>
      </w:r>
      <w:proofErr w:type="spellStart"/>
      <w:r w:rsidRPr="00EE5EED">
        <w:rPr>
          <w:b/>
          <w:sz w:val="24"/>
          <w:szCs w:val="24"/>
        </w:rPr>
        <w:t>Aceptación</w:t>
      </w:r>
      <w:proofErr w:type="spellEnd"/>
      <w:r w:rsidRPr="00EE5EED">
        <w:rPr>
          <w:b/>
          <w:sz w:val="24"/>
          <w:szCs w:val="24"/>
        </w:rPr>
        <w:t>:</w:t>
      </w:r>
      <w:r w:rsidRPr="00EE5EED">
        <w:rPr>
          <w:sz w:val="24"/>
          <w:szCs w:val="24"/>
        </w:rPr>
        <w:t xml:space="preserve"> </w:t>
      </w:r>
      <w:proofErr w:type="spellStart"/>
      <w:r>
        <w:rPr>
          <w:sz w:val="24"/>
          <w:szCs w:val="24"/>
        </w:rPr>
        <w:t>Diciembre</w:t>
      </w:r>
      <w:proofErr w:type="spellEnd"/>
      <w:r w:rsidRPr="00EE5EED">
        <w:rPr>
          <w:sz w:val="24"/>
          <w:szCs w:val="24"/>
        </w:rPr>
        <w:t xml:space="preserve"> 2023</w:t>
      </w:r>
    </w:p>
    <w:p w14:paraId="293A374B" w14:textId="77777777" w:rsidR="00123E24" w:rsidRPr="00716553" w:rsidRDefault="00123E24" w:rsidP="00123E24">
      <w:pPr>
        <w:spacing w:line="360" w:lineRule="auto"/>
        <w:jc w:val="both"/>
      </w:pPr>
      <w:r>
        <w:rPr>
          <w:sz w:val="24"/>
          <w:szCs w:val="24"/>
        </w:rPr>
        <w:pict w14:anchorId="29F8CEDE">
          <v:rect id="_x0000_i1025" style="width:441.9pt;height:1pt" o:hralign="center" o:hrstd="t" o:hr="t" fillcolor="#a0a0a0" stroked="f"/>
        </w:pict>
      </w:r>
    </w:p>
    <w:p w14:paraId="2E330FC6" w14:textId="494E2D1B" w:rsidR="00726485" w:rsidRPr="00123E24" w:rsidRDefault="00726485" w:rsidP="00123E24">
      <w:pPr>
        <w:spacing w:line="360" w:lineRule="auto"/>
        <w:jc w:val="center"/>
        <w:rPr>
          <w:b/>
          <w:bCs/>
          <w:color w:val="000000"/>
          <w:sz w:val="24"/>
          <w:szCs w:val="24"/>
          <w:lang w:val="es-ES" w:eastAsia="es-ES"/>
        </w:rPr>
      </w:pPr>
      <w:r w:rsidRPr="00123E24">
        <w:rPr>
          <w:b/>
          <w:bCs/>
          <w:color w:val="000000"/>
          <w:sz w:val="24"/>
          <w:szCs w:val="24"/>
          <w:lang w:val="es-ES" w:eastAsia="es-ES"/>
        </w:rPr>
        <w:t>Introducción</w:t>
      </w:r>
    </w:p>
    <w:p w14:paraId="07EA773E" w14:textId="199CC4B5" w:rsidR="007C5A79" w:rsidRPr="00123E24" w:rsidRDefault="007C5A79" w:rsidP="006730A0">
      <w:pPr>
        <w:spacing w:line="360" w:lineRule="auto"/>
        <w:jc w:val="both"/>
        <w:rPr>
          <w:color w:val="000000"/>
          <w:sz w:val="24"/>
          <w:szCs w:val="24"/>
          <w:lang w:val="es-ES" w:eastAsia="es-ES"/>
        </w:rPr>
      </w:pPr>
      <w:r w:rsidRPr="00123E24">
        <w:rPr>
          <w:color w:val="000000"/>
          <w:sz w:val="24"/>
          <w:szCs w:val="24"/>
          <w:lang w:val="es-ES" w:eastAsia="es-ES"/>
        </w:rPr>
        <w:t xml:space="preserve">La actual sociedad del conocimiento ha venido impactando de manera significativa los perfiles de egreso de los profesionales de nivel superior a escala internacional, esto se debe en gran medida a las exigencias que demanda hoy el uso intensivo </w:t>
      </w:r>
      <w:r w:rsidRPr="00123E24">
        <w:rPr>
          <w:color w:val="000000"/>
          <w:sz w:val="24"/>
          <w:szCs w:val="24"/>
          <w:lang w:val="es-US" w:eastAsia="es-ES"/>
        </w:rPr>
        <w:t>del conocimiento y de las nuevas tecnologías, como supuestos de eficiencia, calidad,</w:t>
      </w:r>
      <w:r w:rsidRPr="00123E24">
        <w:rPr>
          <w:color w:val="000000"/>
          <w:sz w:val="24"/>
          <w:szCs w:val="24"/>
          <w:lang w:val="es-ES" w:eastAsia="es-ES"/>
        </w:rPr>
        <w:t xml:space="preserve"> desarrollo y competitividad regional </w:t>
      </w:r>
      <w:r w:rsidRPr="00123E24">
        <w:rPr>
          <w:color w:val="000000"/>
          <w:sz w:val="24"/>
          <w:szCs w:val="24"/>
          <w:lang w:val="es-US" w:eastAsia="es-ES"/>
        </w:rPr>
        <w:t>(</w:t>
      </w:r>
      <w:proofErr w:type="spellStart"/>
      <w:r w:rsidRPr="00123E24">
        <w:rPr>
          <w:color w:val="000000"/>
          <w:sz w:val="24"/>
          <w:szCs w:val="24"/>
          <w:lang w:val="es-US" w:eastAsia="es-ES"/>
        </w:rPr>
        <w:t>Cavusoglua</w:t>
      </w:r>
      <w:proofErr w:type="spellEnd"/>
      <w:r w:rsidRPr="00123E24">
        <w:rPr>
          <w:color w:val="000000"/>
          <w:sz w:val="24"/>
          <w:szCs w:val="24"/>
          <w:lang w:val="es-US" w:eastAsia="es-ES"/>
        </w:rPr>
        <w:t xml:space="preserve">, 2016; </w:t>
      </w:r>
      <w:proofErr w:type="spellStart"/>
      <w:r w:rsidRPr="00123E24">
        <w:rPr>
          <w:color w:val="000000"/>
          <w:sz w:val="24"/>
          <w:szCs w:val="24"/>
          <w:lang w:val="es-US" w:eastAsia="es-ES"/>
        </w:rPr>
        <w:t>Malerba</w:t>
      </w:r>
      <w:proofErr w:type="spellEnd"/>
      <w:r w:rsidRPr="00123E24">
        <w:rPr>
          <w:color w:val="000000"/>
          <w:sz w:val="24"/>
          <w:szCs w:val="24"/>
          <w:lang w:val="es-US" w:eastAsia="es-ES"/>
        </w:rPr>
        <w:t xml:space="preserve"> &amp; </w:t>
      </w:r>
      <w:proofErr w:type="spellStart"/>
      <w:r w:rsidRPr="00123E24">
        <w:rPr>
          <w:color w:val="000000"/>
          <w:sz w:val="24"/>
          <w:szCs w:val="24"/>
          <w:lang w:val="es-US" w:eastAsia="es-ES"/>
        </w:rPr>
        <w:t>McKelvey</w:t>
      </w:r>
      <w:proofErr w:type="spellEnd"/>
      <w:r w:rsidRPr="00123E24">
        <w:rPr>
          <w:color w:val="000000"/>
          <w:sz w:val="24"/>
          <w:szCs w:val="24"/>
          <w:lang w:val="es-US" w:eastAsia="es-ES"/>
        </w:rPr>
        <w:t>, 2020)</w:t>
      </w:r>
      <w:r w:rsidRPr="00123E24">
        <w:rPr>
          <w:color w:val="000000"/>
          <w:sz w:val="24"/>
          <w:szCs w:val="24"/>
          <w:lang w:val="es-ES" w:eastAsia="es-ES"/>
        </w:rPr>
        <w:t xml:space="preserve">. Escenario en el que urge la formación de un egresado competente, con una alta capacidad de investigación, innovación, autonomía y pensamiento crítico. Esta realidad ha generado en las universidades un constante y sistémico proceso de renovación de los modelos conceptuales de formación, poniendo a prueba la capacidad innovativa de la universidad para cumplir estas demandas. En este orden, </w:t>
      </w:r>
      <w:r w:rsidRPr="00123E24">
        <w:rPr>
          <w:color w:val="000000"/>
          <w:sz w:val="24"/>
          <w:szCs w:val="24"/>
          <w:lang w:val="es-US" w:eastAsia="es-ES"/>
        </w:rPr>
        <w:t>la educación superior y las organizaciones de la sociedad deben estrechar sus vínculos, cumpliendo con el requisito de pertinencia universitaria en materia de oferta educativa (Gómez, et al., 2018; Leyva</w:t>
      </w:r>
      <w:r w:rsidR="00D0213D" w:rsidRPr="00123E24">
        <w:rPr>
          <w:color w:val="000000"/>
          <w:sz w:val="24"/>
          <w:szCs w:val="24"/>
          <w:lang w:val="es-US" w:eastAsia="es-ES"/>
        </w:rPr>
        <w:t xml:space="preserve">, </w:t>
      </w:r>
      <w:r w:rsidRPr="00123E24">
        <w:rPr>
          <w:color w:val="000000"/>
          <w:sz w:val="24"/>
          <w:szCs w:val="24"/>
          <w:lang w:val="es-US" w:eastAsia="es-ES"/>
        </w:rPr>
        <w:t xml:space="preserve">et al., 2021). </w:t>
      </w:r>
    </w:p>
    <w:p w14:paraId="48ED2884" w14:textId="77777777" w:rsidR="007C5A79" w:rsidRPr="00123E24" w:rsidRDefault="007C5A79" w:rsidP="006730A0">
      <w:pPr>
        <w:spacing w:line="360" w:lineRule="auto"/>
        <w:jc w:val="both"/>
        <w:rPr>
          <w:color w:val="000000"/>
          <w:sz w:val="24"/>
          <w:szCs w:val="24"/>
          <w:lang w:val="es-ES" w:eastAsia="es-ES"/>
        </w:rPr>
      </w:pPr>
      <w:r w:rsidRPr="00123E24">
        <w:rPr>
          <w:color w:val="000000"/>
          <w:sz w:val="24"/>
          <w:szCs w:val="24"/>
          <w:lang w:val="es-ES" w:eastAsia="es-ES"/>
        </w:rPr>
        <w:t xml:space="preserve">Uno de los objetos de investigación e innovación legítimo para alinear los perfiles de formación ha sido potenciar el proceso de formación investigativa de los estudiantes universitarios, en particular, comprender cómo la vinculación con el medio (VcM) se constituye un mecanismo institucionalizado de la gestión universitaria para favorecer este propósito. </w:t>
      </w:r>
    </w:p>
    <w:p w14:paraId="4D382320" w14:textId="77777777" w:rsidR="007C5A79" w:rsidRPr="00123E24" w:rsidRDefault="007C5A79" w:rsidP="006730A0">
      <w:pPr>
        <w:spacing w:line="360" w:lineRule="auto"/>
        <w:jc w:val="both"/>
        <w:rPr>
          <w:color w:val="000000"/>
          <w:sz w:val="24"/>
          <w:szCs w:val="24"/>
          <w:lang w:val="es-ES" w:eastAsia="es-ES"/>
        </w:rPr>
      </w:pPr>
      <w:r w:rsidRPr="00123E24">
        <w:rPr>
          <w:color w:val="000000"/>
          <w:sz w:val="24"/>
          <w:szCs w:val="24"/>
          <w:lang w:val="es-ES" w:eastAsia="es-ES"/>
        </w:rPr>
        <w:t xml:space="preserve">En tal sentido, en esta ponencia se abordan aspectos teóricos y metodológicos relacionados con las potencialidades de la VcM como entorno para la orientación de las demandas a la formación investigativa de los estudiantes universitarios. </w:t>
      </w:r>
    </w:p>
    <w:p w14:paraId="26F888EB" w14:textId="77777777" w:rsidR="003672EA" w:rsidRDefault="003672EA" w:rsidP="006730A0">
      <w:pPr>
        <w:spacing w:line="360" w:lineRule="auto"/>
        <w:jc w:val="both"/>
        <w:rPr>
          <w:i/>
          <w:iCs/>
          <w:color w:val="000000"/>
          <w:sz w:val="24"/>
          <w:szCs w:val="24"/>
          <w:lang w:val="es-ES" w:eastAsia="es-ES"/>
        </w:rPr>
      </w:pPr>
    </w:p>
    <w:p w14:paraId="4CF7DFEC" w14:textId="77777777" w:rsidR="00123E24" w:rsidRDefault="00123E24" w:rsidP="006730A0">
      <w:pPr>
        <w:spacing w:line="360" w:lineRule="auto"/>
        <w:jc w:val="both"/>
        <w:rPr>
          <w:i/>
          <w:iCs/>
          <w:color w:val="000000"/>
          <w:sz w:val="24"/>
          <w:szCs w:val="24"/>
          <w:lang w:val="es-ES" w:eastAsia="es-ES"/>
        </w:rPr>
      </w:pPr>
    </w:p>
    <w:p w14:paraId="731D6A8E" w14:textId="77777777" w:rsidR="00123E24" w:rsidRPr="00123E24" w:rsidRDefault="00123E24" w:rsidP="006730A0">
      <w:pPr>
        <w:spacing w:line="360" w:lineRule="auto"/>
        <w:jc w:val="both"/>
        <w:rPr>
          <w:i/>
          <w:iCs/>
          <w:color w:val="000000"/>
          <w:sz w:val="24"/>
          <w:szCs w:val="24"/>
          <w:lang w:val="es-ES" w:eastAsia="es-ES"/>
        </w:rPr>
      </w:pPr>
    </w:p>
    <w:p w14:paraId="04805F95" w14:textId="45DF777E" w:rsidR="00726485" w:rsidRPr="00123E24" w:rsidRDefault="00726485" w:rsidP="006730A0">
      <w:pPr>
        <w:spacing w:line="360" w:lineRule="auto"/>
        <w:jc w:val="both"/>
        <w:rPr>
          <w:i/>
          <w:iCs/>
          <w:lang w:val="es-CL" w:eastAsia="es-ES"/>
        </w:rPr>
      </w:pPr>
      <w:r w:rsidRPr="00123E24">
        <w:rPr>
          <w:i/>
          <w:iCs/>
          <w:sz w:val="24"/>
          <w:szCs w:val="24"/>
          <w:lang w:val="es-CL" w:eastAsia="es-ES"/>
        </w:rPr>
        <w:lastRenderedPageBreak/>
        <w:t>Formación investigativa y vinculación con el medio: conceptualizaciones como punto de partida.</w:t>
      </w:r>
    </w:p>
    <w:p w14:paraId="28C071BC" w14:textId="42E17950" w:rsidR="007C5A79" w:rsidRPr="00123E24" w:rsidRDefault="007C5A79" w:rsidP="006730A0">
      <w:pPr>
        <w:spacing w:line="360" w:lineRule="auto"/>
        <w:jc w:val="both"/>
        <w:rPr>
          <w:color w:val="000000"/>
          <w:sz w:val="24"/>
          <w:szCs w:val="24"/>
          <w:lang w:val="es-ES" w:eastAsia="es-ES"/>
        </w:rPr>
      </w:pPr>
      <w:r w:rsidRPr="00123E24">
        <w:rPr>
          <w:color w:val="000000"/>
          <w:sz w:val="24"/>
          <w:szCs w:val="24"/>
          <w:lang w:val="es-ES" w:eastAsia="es-ES"/>
        </w:rPr>
        <w:t xml:space="preserve">La gestión de la formación profesional está constituida por varios procesos de naturaleza pedagógica y didáctica que tienen su concreción en el currículo universitario y que por lo general están plasmados en los modelos educativos de las </w:t>
      </w:r>
      <w:r w:rsidR="00AA4C36" w:rsidRPr="00123E24">
        <w:rPr>
          <w:color w:val="000000"/>
          <w:sz w:val="24"/>
          <w:szCs w:val="24"/>
          <w:lang w:val="es-ES" w:eastAsia="es-ES"/>
        </w:rPr>
        <w:t>I</w:t>
      </w:r>
      <w:r w:rsidRPr="00123E24">
        <w:rPr>
          <w:color w:val="000000"/>
          <w:sz w:val="24"/>
          <w:szCs w:val="24"/>
          <w:lang w:val="es-ES" w:eastAsia="es-ES"/>
        </w:rPr>
        <w:t xml:space="preserve">nstituciones de </w:t>
      </w:r>
      <w:r w:rsidR="00AA4C36" w:rsidRPr="00123E24">
        <w:rPr>
          <w:color w:val="000000"/>
          <w:sz w:val="24"/>
          <w:szCs w:val="24"/>
          <w:lang w:val="es-ES" w:eastAsia="es-ES"/>
        </w:rPr>
        <w:t>E</w:t>
      </w:r>
      <w:r w:rsidRPr="00123E24">
        <w:rPr>
          <w:color w:val="000000"/>
          <w:sz w:val="24"/>
          <w:szCs w:val="24"/>
          <w:lang w:val="es-ES" w:eastAsia="es-ES"/>
        </w:rPr>
        <w:t xml:space="preserve">ducación </w:t>
      </w:r>
      <w:r w:rsidR="00AA4C36" w:rsidRPr="00123E24">
        <w:rPr>
          <w:color w:val="000000"/>
          <w:sz w:val="24"/>
          <w:szCs w:val="24"/>
          <w:lang w:val="es-ES" w:eastAsia="es-ES"/>
        </w:rPr>
        <w:t>S</w:t>
      </w:r>
      <w:r w:rsidRPr="00123E24">
        <w:rPr>
          <w:color w:val="000000"/>
          <w:sz w:val="24"/>
          <w:szCs w:val="24"/>
          <w:lang w:val="es-ES" w:eastAsia="es-ES"/>
        </w:rPr>
        <w:t>uperior (IES).</w:t>
      </w:r>
    </w:p>
    <w:p w14:paraId="79D808A5" w14:textId="5FD50566" w:rsidR="007C5A79" w:rsidRPr="00123E24" w:rsidRDefault="007C5A79" w:rsidP="006730A0">
      <w:pPr>
        <w:spacing w:line="360" w:lineRule="auto"/>
        <w:jc w:val="both"/>
        <w:rPr>
          <w:color w:val="000000"/>
          <w:sz w:val="24"/>
          <w:szCs w:val="24"/>
          <w:lang w:val="es-ES" w:eastAsia="es-ES"/>
        </w:rPr>
      </w:pPr>
      <w:r w:rsidRPr="00123E24">
        <w:rPr>
          <w:color w:val="000000"/>
          <w:sz w:val="24"/>
          <w:szCs w:val="24"/>
          <w:lang w:val="es-ES" w:eastAsia="es-ES"/>
        </w:rPr>
        <w:t>La formación investigativa es uno de los procesos que contribuye a la formación de profesionales</w:t>
      </w:r>
      <w:r w:rsidR="000F020C" w:rsidRPr="00123E24">
        <w:rPr>
          <w:color w:val="000000"/>
          <w:sz w:val="24"/>
          <w:szCs w:val="24"/>
          <w:lang w:val="es-ES" w:eastAsia="es-ES"/>
        </w:rPr>
        <w:t xml:space="preserve"> competentes</w:t>
      </w:r>
      <w:r w:rsidRPr="00123E24">
        <w:rPr>
          <w:color w:val="000000"/>
          <w:sz w:val="24"/>
          <w:szCs w:val="24"/>
          <w:lang w:val="es-ES" w:eastAsia="es-ES"/>
        </w:rPr>
        <w:t xml:space="preserve">. </w:t>
      </w:r>
      <w:r w:rsidRPr="00123E24">
        <w:rPr>
          <w:color w:val="000000"/>
          <w:sz w:val="24"/>
          <w:szCs w:val="24"/>
          <w:lang w:val="es-US" w:eastAsia="es-ES"/>
        </w:rPr>
        <w:t xml:space="preserve">Es </w:t>
      </w:r>
      <w:r w:rsidRPr="00123E24">
        <w:rPr>
          <w:color w:val="000000"/>
          <w:sz w:val="24"/>
          <w:szCs w:val="24"/>
          <w:lang w:val="es-ES" w:eastAsia="es-ES"/>
        </w:rPr>
        <w:t xml:space="preserve">un proceso de naturaleza pedagógica, formativo, holístico, resultado del sistema de influencias de enseñanza-aprendizaje que se concretan en los planes de estudios con la participación de todas las disciplinas académicas en todas las formas organizativas del proceso, que permite la apropiación de los conocimientos, habilidades, actitudes y el desarrollo de la actividad valorativa que se sintetizan en las competencias investigativas como configuraciones psicológicas superiores de naturaleza comunicativas, cognitivas, metodológicas, analíticas, tecnológicas, interpersonales, éticas, etc., </w:t>
      </w:r>
      <w:r w:rsidRPr="00123E24">
        <w:rPr>
          <w:color w:val="000000"/>
          <w:sz w:val="24"/>
          <w:szCs w:val="24"/>
          <w:lang w:val="es-US" w:eastAsia="es-ES"/>
        </w:rPr>
        <w:t xml:space="preserve">que son transversales a todo el currículo académico </w:t>
      </w:r>
      <w:r w:rsidRPr="00123E24">
        <w:rPr>
          <w:color w:val="000000"/>
          <w:sz w:val="24"/>
          <w:szCs w:val="24"/>
          <w:lang w:val="es-ES" w:eastAsia="es-ES"/>
        </w:rPr>
        <w:t>(</w:t>
      </w:r>
      <w:proofErr w:type="spellStart"/>
      <w:r w:rsidRPr="00123E24">
        <w:rPr>
          <w:color w:val="000000"/>
          <w:sz w:val="24"/>
          <w:szCs w:val="24"/>
          <w:lang w:val="es-ES" w:eastAsia="es-ES"/>
        </w:rPr>
        <w:t>Velandía</w:t>
      </w:r>
      <w:proofErr w:type="spellEnd"/>
      <w:r w:rsidRPr="00123E24">
        <w:rPr>
          <w:color w:val="000000"/>
          <w:sz w:val="24"/>
          <w:szCs w:val="24"/>
          <w:lang w:val="es-ES" w:eastAsia="es-ES"/>
        </w:rPr>
        <w:t xml:space="preserve">, 2021). </w:t>
      </w:r>
    </w:p>
    <w:p w14:paraId="6FD0897D" w14:textId="77777777" w:rsidR="007C5A79" w:rsidRPr="00123E24" w:rsidRDefault="007C5A79" w:rsidP="006730A0">
      <w:pPr>
        <w:spacing w:line="360" w:lineRule="auto"/>
        <w:jc w:val="both"/>
        <w:rPr>
          <w:color w:val="000000"/>
          <w:sz w:val="24"/>
          <w:szCs w:val="24"/>
          <w:lang w:val="es-US" w:eastAsia="es-ES"/>
        </w:rPr>
      </w:pPr>
      <w:r w:rsidRPr="00123E24">
        <w:rPr>
          <w:color w:val="000000"/>
          <w:sz w:val="24"/>
          <w:szCs w:val="24"/>
          <w:lang w:val="es-US" w:eastAsia="es-ES"/>
        </w:rPr>
        <w:t>Para conocer cómo las lES conciben la formación investigativa es posible operacionalizar la misma en las dimensiones:</w:t>
      </w:r>
    </w:p>
    <w:p w14:paraId="2E3781AA" w14:textId="194904F7" w:rsidR="007C5A79" w:rsidRPr="00123E24" w:rsidRDefault="007C5A79" w:rsidP="006730A0">
      <w:pPr>
        <w:numPr>
          <w:ilvl w:val="0"/>
          <w:numId w:val="30"/>
        </w:numPr>
        <w:spacing w:line="360" w:lineRule="auto"/>
        <w:jc w:val="both"/>
        <w:rPr>
          <w:color w:val="000000"/>
          <w:sz w:val="24"/>
          <w:szCs w:val="24"/>
          <w:lang w:val="es-US" w:eastAsia="es-ES"/>
        </w:rPr>
      </w:pPr>
      <w:proofErr w:type="spellStart"/>
      <w:r w:rsidRPr="00123E24">
        <w:rPr>
          <w:color w:val="000000"/>
          <w:sz w:val="24"/>
          <w:szCs w:val="24"/>
          <w:lang w:val="es-US" w:eastAsia="es-ES"/>
        </w:rPr>
        <w:t>ociofilosófica</w:t>
      </w:r>
      <w:proofErr w:type="spellEnd"/>
    </w:p>
    <w:p w14:paraId="227616F9" w14:textId="77777777" w:rsidR="007C5A79" w:rsidRPr="00123E24" w:rsidRDefault="007C5A79" w:rsidP="006730A0">
      <w:pPr>
        <w:numPr>
          <w:ilvl w:val="0"/>
          <w:numId w:val="30"/>
        </w:numPr>
        <w:spacing w:line="360" w:lineRule="auto"/>
        <w:jc w:val="both"/>
        <w:rPr>
          <w:color w:val="000000"/>
          <w:sz w:val="24"/>
          <w:szCs w:val="24"/>
          <w:lang w:val="es-US" w:eastAsia="es-ES"/>
        </w:rPr>
      </w:pPr>
      <w:r w:rsidRPr="00123E24">
        <w:rPr>
          <w:color w:val="000000"/>
          <w:sz w:val="24"/>
          <w:szCs w:val="24"/>
          <w:lang w:val="es-US" w:eastAsia="es-ES"/>
        </w:rPr>
        <w:t>Pedagógica</w:t>
      </w:r>
    </w:p>
    <w:p w14:paraId="275C1B7C" w14:textId="77777777" w:rsidR="007C5A79" w:rsidRPr="00123E24" w:rsidRDefault="007C5A79" w:rsidP="006730A0">
      <w:pPr>
        <w:numPr>
          <w:ilvl w:val="0"/>
          <w:numId w:val="30"/>
        </w:numPr>
        <w:spacing w:line="360" w:lineRule="auto"/>
        <w:jc w:val="both"/>
        <w:rPr>
          <w:color w:val="000000"/>
          <w:sz w:val="24"/>
          <w:szCs w:val="24"/>
          <w:lang w:val="es-US" w:eastAsia="es-ES"/>
        </w:rPr>
      </w:pPr>
      <w:r w:rsidRPr="00123E24">
        <w:rPr>
          <w:color w:val="000000"/>
          <w:sz w:val="24"/>
          <w:szCs w:val="24"/>
          <w:lang w:val="es-US" w:eastAsia="es-ES"/>
        </w:rPr>
        <w:t>Curricular</w:t>
      </w:r>
    </w:p>
    <w:p w14:paraId="13973366" w14:textId="77777777" w:rsidR="007C5A79" w:rsidRPr="00123E24" w:rsidRDefault="007C5A79" w:rsidP="006730A0">
      <w:pPr>
        <w:numPr>
          <w:ilvl w:val="0"/>
          <w:numId w:val="30"/>
        </w:numPr>
        <w:spacing w:line="360" w:lineRule="auto"/>
        <w:jc w:val="both"/>
        <w:rPr>
          <w:color w:val="000000"/>
          <w:sz w:val="24"/>
          <w:szCs w:val="24"/>
          <w:lang w:val="es-US" w:eastAsia="es-ES"/>
        </w:rPr>
      </w:pPr>
      <w:r w:rsidRPr="00123E24">
        <w:rPr>
          <w:color w:val="000000"/>
          <w:sz w:val="24"/>
          <w:szCs w:val="24"/>
          <w:lang w:val="es-US" w:eastAsia="es-ES"/>
        </w:rPr>
        <w:t xml:space="preserve">Didáctica </w:t>
      </w:r>
    </w:p>
    <w:p w14:paraId="2A9B913E" w14:textId="77777777" w:rsidR="007C5A79" w:rsidRPr="00123E24" w:rsidRDefault="007C5A79" w:rsidP="006730A0">
      <w:pPr>
        <w:numPr>
          <w:ilvl w:val="0"/>
          <w:numId w:val="30"/>
        </w:numPr>
        <w:spacing w:line="360" w:lineRule="auto"/>
        <w:jc w:val="both"/>
        <w:rPr>
          <w:color w:val="000000"/>
          <w:sz w:val="24"/>
          <w:szCs w:val="24"/>
          <w:lang w:val="es-US" w:eastAsia="es-ES"/>
        </w:rPr>
      </w:pPr>
      <w:r w:rsidRPr="00123E24">
        <w:rPr>
          <w:color w:val="000000"/>
          <w:sz w:val="24"/>
          <w:szCs w:val="24"/>
          <w:lang w:val="es-US" w:eastAsia="es-ES"/>
        </w:rPr>
        <w:t xml:space="preserve">Sujetos del proceso (estudiantes, docentes e instructores del sistema empresarial o de servicios) </w:t>
      </w:r>
    </w:p>
    <w:p w14:paraId="2D1FD26A" w14:textId="77777777" w:rsidR="007C5A79" w:rsidRPr="00123E24" w:rsidRDefault="007C5A79" w:rsidP="006730A0">
      <w:pPr>
        <w:spacing w:line="360" w:lineRule="auto"/>
        <w:jc w:val="both"/>
        <w:rPr>
          <w:color w:val="000000"/>
          <w:sz w:val="24"/>
          <w:szCs w:val="24"/>
          <w:lang w:val="es-US" w:eastAsia="es-ES"/>
        </w:rPr>
      </w:pPr>
      <w:r w:rsidRPr="00123E24">
        <w:rPr>
          <w:color w:val="000000"/>
          <w:sz w:val="24"/>
          <w:szCs w:val="24"/>
          <w:lang w:val="es-US" w:eastAsia="es-ES"/>
        </w:rPr>
        <w:t xml:space="preserve">La dimensión sociofilosófica brinda la fundamentación del porqué se hace necesario en la época actual lograr en el perfil del profesional la competencia investigativa, a partir de un conjunto de factores que caracterizan el escenario social y laboral. Por lo general, estos supuestos se encuentran en los modelos educativos, pedagógicos y los planes de desarrollo institucional, expresados a través de principios, fines y misión (Morales, et al., 2019; </w:t>
      </w:r>
      <w:proofErr w:type="spellStart"/>
      <w:r w:rsidRPr="00123E24">
        <w:rPr>
          <w:color w:val="000000"/>
          <w:sz w:val="24"/>
          <w:szCs w:val="24"/>
          <w:lang w:val="es-US" w:eastAsia="es-ES"/>
        </w:rPr>
        <w:t>Polaino</w:t>
      </w:r>
      <w:proofErr w:type="spellEnd"/>
      <w:r w:rsidRPr="00123E24">
        <w:rPr>
          <w:color w:val="000000"/>
          <w:sz w:val="24"/>
          <w:szCs w:val="24"/>
          <w:lang w:val="es-US" w:eastAsia="es-ES"/>
        </w:rPr>
        <w:t>, et al., 2020)</w:t>
      </w:r>
    </w:p>
    <w:p w14:paraId="38D7ECA6" w14:textId="77777777" w:rsidR="007C5A79" w:rsidRPr="00123E24" w:rsidRDefault="007C5A79" w:rsidP="006730A0">
      <w:pPr>
        <w:spacing w:line="360" w:lineRule="auto"/>
        <w:jc w:val="both"/>
        <w:rPr>
          <w:color w:val="000000"/>
          <w:sz w:val="24"/>
          <w:szCs w:val="24"/>
          <w:lang w:val="es-US" w:eastAsia="es-ES"/>
        </w:rPr>
      </w:pPr>
      <w:r w:rsidRPr="00123E24">
        <w:rPr>
          <w:color w:val="000000"/>
          <w:sz w:val="24"/>
          <w:szCs w:val="24"/>
          <w:lang w:val="es-US" w:eastAsia="es-ES"/>
        </w:rPr>
        <w:t>La dimensión pedagógica se refiere a cómo la universidad configura sus procesos sustantivos y la VcM para lograr su encargo social.</w:t>
      </w:r>
    </w:p>
    <w:p w14:paraId="4E9E625D" w14:textId="4E028B98" w:rsidR="007C5A79" w:rsidRPr="00123E24" w:rsidRDefault="007C5A79" w:rsidP="006730A0">
      <w:pPr>
        <w:spacing w:line="360" w:lineRule="auto"/>
        <w:jc w:val="both"/>
        <w:rPr>
          <w:color w:val="000000"/>
          <w:sz w:val="24"/>
          <w:szCs w:val="24"/>
          <w:lang w:val="es-US" w:eastAsia="es-ES"/>
        </w:rPr>
      </w:pPr>
      <w:r w:rsidRPr="00123E24">
        <w:rPr>
          <w:color w:val="000000"/>
          <w:sz w:val="24"/>
          <w:szCs w:val="24"/>
          <w:lang w:val="es-US" w:eastAsia="es-ES"/>
        </w:rPr>
        <w:t>La dimensión curricular supone los perfiles de formación, así como las disciplinas y trayectos formativos por los cuales debe transitar el estudiante para apropiarse de los contenidos curriculares. En tal sentido, para garantizar un currículo pertinente se necesita generar un diálogo sostenido y bidireccional que permita la formación profesional en el continuo</w:t>
      </w:r>
      <w:r w:rsidR="003279BE" w:rsidRPr="00123E24">
        <w:rPr>
          <w:color w:val="000000"/>
          <w:sz w:val="24"/>
          <w:szCs w:val="24"/>
          <w:lang w:val="es-US" w:eastAsia="es-ES"/>
        </w:rPr>
        <w:t xml:space="preserve"> </w:t>
      </w:r>
      <w:r w:rsidRPr="00123E24">
        <w:rPr>
          <w:color w:val="000000"/>
          <w:sz w:val="24"/>
          <w:szCs w:val="24"/>
          <w:lang w:val="es-US" w:eastAsia="es-ES"/>
        </w:rPr>
        <w:t xml:space="preserve">universidad–empresa, aproximando al estudiante al contexto real de actuación y al logro de habilidades y competencias requeridas en la práctica profesional. </w:t>
      </w:r>
    </w:p>
    <w:p w14:paraId="2D305D42" w14:textId="44B70BAA" w:rsidR="007C5A79" w:rsidRPr="00123E24" w:rsidRDefault="007C5A79" w:rsidP="006730A0">
      <w:pPr>
        <w:spacing w:line="360" w:lineRule="auto"/>
        <w:jc w:val="both"/>
        <w:rPr>
          <w:color w:val="000000"/>
          <w:sz w:val="24"/>
          <w:szCs w:val="24"/>
          <w:lang w:val="es-US" w:eastAsia="es-ES"/>
        </w:rPr>
      </w:pPr>
      <w:r w:rsidRPr="00123E24">
        <w:rPr>
          <w:color w:val="000000"/>
          <w:sz w:val="24"/>
          <w:szCs w:val="24"/>
          <w:lang w:val="es-US" w:eastAsia="es-ES"/>
        </w:rPr>
        <w:lastRenderedPageBreak/>
        <w:t>La dimensión didáctica tiene como objetivo describir los planes instruccionales y el empleo de los métodos de enseñanza- aprendizaje durante el proceso formativo. Las tendencias más novedosas en el campo didáctico advierten la necesidad del empleo de métodos activos, como el aprendizaje colaborativo, la enseñanza basada en problemas (</w:t>
      </w:r>
      <w:proofErr w:type="spellStart"/>
      <w:r w:rsidRPr="00123E24">
        <w:rPr>
          <w:color w:val="000000"/>
          <w:sz w:val="24"/>
          <w:szCs w:val="24"/>
          <w:lang w:val="es-US" w:eastAsia="es-ES"/>
        </w:rPr>
        <w:t>Drăghicescu</w:t>
      </w:r>
      <w:proofErr w:type="spellEnd"/>
      <w:r w:rsidRPr="00123E24">
        <w:rPr>
          <w:color w:val="000000"/>
          <w:sz w:val="24"/>
          <w:szCs w:val="24"/>
          <w:lang w:val="es-US" w:eastAsia="es-ES"/>
        </w:rPr>
        <w:t xml:space="preserve">, et al., 2014; </w:t>
      </w:r>
      <w:proofErr w:type="spellStart"/>
      <w:r w:rsidRPr="00123E24">
        <w:rPr>
          <w:color w:val="000000"/>
          <w:sz w:val="24"/>
          <w:szCs w:val="24"/>
          <w:lang w:val="es-US" w:eastAsia="es-ES"/>
        </w:rPr>
        <w:t>Koh</w:t>
      </w:r>
      <w:proofErr w:type="spellEnd"/>
      <w:r w:rsidRPr="00123E24">
        <w:rPr>
          <w:color w:val="000000"/>
          <w:sz w:val="24"/>
          <w:szCs w:val="24"/>
          <w:lang w:val="es-US" w:eastAsia="es-ES"/>
        </w:rPr>
        <w:t>, &amp; Chapman, 2019)</w:t>
      </w:r>
      <w:r w:rsidR="00693D83" w:rsidRPr="00123E24">
        <w:rPr>
          <w:color w:val="000000"/>
          <w:sz w:val="24"/>
          <w:szCs w:val="24"/>
          <w:lang w:val="es-US" w:eastAsia="es-ES"/>
        </w:rPr>
        <w:t>,</w:t>
      </w:r>
      <w:r w:rsidRPr="00123E24">
        <w:rPr>
          <w:color w:val="000000"/>
          <w:sz w:val="24"/>
          <w:szCs w:val="24"/>
          <w:lang w:val="es-US" w:eastAsia="es-ES"/>
        </w:rPr>
        <w:t xml:space="preserve"> el aprendizaje por descubrimiento</w:t>
      </w:r>
      <w:r w:rsidR="00693D83" w:rsidRPr="00123E24">
        <w:rPr>
          <w:color w:val="000000"/>
          <w:sz w:val="24"/>
          <w:szCs w:val="24"/>
          <w:lang w:val="es-US" w:eastAsia="es-ES"/>
        </w:rPr>
        <w:t xml:space="preserve">, el </w:t>
      </w:r>
      <w:r w:rsidRPr="00123E24">
        <w:rPr>
          <w:color w:val="000000"/>
          <w:sz w:val="24"/>
          <w:szCs w:val="24"/>
          <w:lang w:val="es-US" w:eastAsia="es-ES"/>
        </w:rPr>
        <w:t xml:space="preserve">aprendizaje orientado a proyectos, </w:t>
      </w:r>
      <w:r w:rsidR="00BA6009" w:rsidRPr="00123E24">
        <w:rPr>
          <w:color w:val="000000"/>
          <w:sz w:val="24"/>
          <w:szCs w:val="24"/>
          <w:lang w:val="es-US" w:eastAsia="es-ES"/>
        </w:rPr>
        <w:t xml:space="preserve">el </w:t>
      </w:r>
      <w:r w:rsidRPr="00123E24">
        <w:rPr>
          <w:color w:val="000000"/>
          <w:sz w:val="24"/>
          <w:szCs w:val="24"/>
          <w:lang w:val="es-US" w:eastAsia="es-ES"/>
        </w:rPr>
        <w:t>aprendizaje servicio</w:t>
      </w:r>
      <w:r w:rsidR="00BA6009" w:rsidRPr="00123E24">
        <w:rPr>
          <w:color w:val="000000"/>
          <w:sz w:val="24"/>
          <w:szCs w:val="24"/>
          <w:lang w:val="es-US" w:eastAsia="es-ES"/>
        </w:rPr>
        <w:t xml:space="preserve"> y</w:t>
      </w:r>
      <w:r w:rsidRPr="00123E24">
        <w:rPr>
          <w:color w:val="000000"/>
          <w:sz w:val="24"/>
          <w:szCs w:val="24"/>
          <w:lang w:val="es-US" w:eastAsia="es-ES"/>
        </w:rPr>
        <w:t xml:space="preserve"> el estudio de casos, (Tecnológico de Monterrey, 2018; Espinoza, 2020), los cuales integran los contenidos desde una visión teórico-práctica en torno a núcleos problemáticos académicos o reales asociados al contexto profesional. Aspecto este alineado a la necesidad de la profesionalización de la formación universitaria (León y Herrera, 2010; León, &amp; Rojas, 2022).</w:t>
      </w:r>
    </w:p>
    <w:p w14:paraId="33766DCA" w14:textId="183794DA" w:rsidR="007C5A79" w:rsidRPr="00123E24" w:rsidRDefault="007C5A79" w:rsidP="006730A0">
      <w:pPr>
        <w:spacing w:line="360" w:lineRule="auto"/>
        <w:jc w:val="both"/>
        <w:rPr>
          <w:color w:val="000000"/>
          <w:sz w:val="24"/>
          <w:szCs w:val="24"/>
          <w:lang w:val="es-US" w:eastAsia="es-ES"/>
        </w:rPr>
      </w:pPr>
      <w:r w:rsidRPr="00123E24">
        <w:rPr>
          <w:color w:val="000000"/>
          <w:sz w:val="24"/>
          <w:szCs w:val="24"/>
          <w:lang w:val="es-US" w:eastAsia="es-ES"/>
        </w:rPr>
        <w:t>La dimensión sujetos del proceso apunta hacia las competencias del docente, instructores y demás personas que ejercen la función formativa</w:t>
      </w:r>
      <w:r w:rsidR="00DB73C1" w:rsidRPr="00123E24">
        <w:rPr>
          <w:color w:val="000000"/>
          <w:sz w:val="24"/>
          <w:szCs w:val="24"/>
          <w:lang w:val="es-US" w:eastAsia="es-ES"/>
        </w:rPr>
        <w:t>, así como</w:t>
      </w:r>
      <w:r w:rsidRPr="00123E24">
        <w:rPr>
          <w:color w:val="000000"/>
          <w:sz w:val="24"/>
          <w:szCs w:val="24"/>
          <w:lang w:val="es-US" w:eastAsia="es-ES"/>
        </w:rPr>
        <w:t xml:space="preserve"> el modo de actuación del estudiante en el proceso. </w:t>
      </w:r>
    </w:p>
    <w:p w14:paraId="615EBCCA" w14:textId="117A8234" w:rsidR="007C5A79" w:rsidRPr="00123E24" w:rsidRDefault="007C5A79" w:rsidP="006730A0">
      <w:pPr>
        <w:spacing w:line="360" w:lineRule="auto"/>
        <w:jc w:val="both"/>
        <w:rPr>
          <w:color w:val="000000"/>
          <w:sz w:val="24"/>
          <w:szCs w:val="24"/>
          <w:lang w:val="es-US" w:eastAsia="es-ES"/>
        </w:rPr>
      </w:pPr>
      <w:r w:rsidRPr="00123E24">
        <w:rPr>
          <w:color w:val="000000"/>
          <w:sz w:val="24"/>
          <w:szCs w:val="24"/>
          <w:lang w:val="es-US" w:eastAsia="es-ES"/>
        </w:rPr>
        <w:t>La universidad actual precisa de un modelo de docente con una alta cultura científica y elevadas competencias investigativas que le permitan un adecuado desempeño de su ejercicio profesional,</w:t>
      </w:r>
      <w:r w:rsidR="006F1BA1" w:rsidRPr="00123E24">
        <w:rPr>
          <w:color w:val="000000"/>
          <w:sz w:val="24"/>
          <w:szCs w:val="24"/>
          <w:lang w:val="es-US" w:eastAsia="es-ES"/>
        </w:rPr>
        <w:t xml:space="preserve"> </w:t>
      </w:r>
      <w:r w:rsidRPr="00123E24">
        <w:rPr>
          <w:color w:val="000000"/>
          <w:sz w:val="24"/>
          <w:szCs w:val="24"/>
          <w:lang w:val="es-US" w:eastAsia="es-ES"/>
        </w:rPr>
        <w:t>contribuyendo a identificación de problemáticas, el empleo del método científico para su solución y la difusión del conocimiento y la capacidad de incidir a través del proceso de enseñanza en la formación investigativa de los estudiantes (Ayala, &amp; Barrera, 2018 y Reiban, 2018).</w:t>
      </w:r>
    </w:p>
    <w:p w14:paraId="0A7D8C7E" w14:textId="77777777" w:rsidR="007C5A79" w:rsidRPr="00123E24" w:rsidRDefault="007C5A79" w:rsidP="006730A0">
      <w:pPr>
        <w:spacing w:line="360" w:lineRule="auto"/>
        <w:jc w:val="both"/>
        <w:rPr>
          <w:color w:val="000000"/>
          <w:sz w:val="24"/>
          <w:szCs w:val="24"/>
          <w:lang w:val="es-ES" w:eastAsia="es-ES"/>
        </w:rPr>
      </w:pPr>
      <w:r w:rsidRPr="00123E24">
        <w:rPr>
          <w:color w:val="000000"/>
          <w:sz w:val="24"/>
          <w:szCs w:val="24"/>
          <w:lang w:val="es-ES" w:eastAsia="es-ES"/>
        </w:rPr>
        <w:t xml:space="preserve">La formación investigativa desde el punto de vista epistemológico supone que, lo cognitivo, procedimental, actitudinal y valorativo se alcanza desde una posición activa y consciente del estudiante en un complejo de relaciones que se manifiestan en la lógica secuencial y transversal del currículo, donde cada una de las disciplinas realizan su contribución. </w:t>
      </w:r>
    </w:p>
    <w:p w14:paraId="0D8381F6" w14:textId="77777777" w:rsidR="007C5A79" w:rsidRPr="00123E24" w:rsidRDefault="007C5A79" w:rsidP="006730A0">
      <w:pPr>
        <w:spacing w:line="360" w:lineRule="auto"/>
        <w:jc w:val="both"/>
        <w:rPr>
          <w:color w:val="000000"/>
          <w:sz w:val="24"/>
          <w:szCs w:val="24"/>
          <w:lang w:val="es-ES" w:eastAsia="es-ES"/>
        </w:rPr>
      </w:pPr>
      <w:r w:rsidRPr="00123E24">
        <w:rPr>
          <w:color w:val="000000"/>
          <w:sz w:val="24"/>
          <w:szCs w:val="24"/>
          <w:lang w:val="es-ES" w:eastAsia="es-ES"/>
        </w:rPr>
        <w:t xml:space="preserve">La sinergia de estas dimensiones en el proceso de formación investigativa en el contexto de los procesos sustantivos (docencia, investigación y vinculación) posibilitan que los ambientes y contextos de aprendizaje (aulas, laboratorios, residencias profesionales, prácticas profesionales, ejercicios de culminación de estudios, …) propicien la interacción con aquellos contenidos que nutren la competencia investigativa. </w:t>
      </w:r>
    </w:p>
    <w:p w14:paraId="091D7916" w14:textId="23A23CEC" w:rsidR="007C5A79" w:rsidRPr="00123E24" w:rsidRDefault="006E4A6B" w:rsidP="006730A0">
      <w:pPr>
        <w:spacing w:line="360" w:lineRule="auto"/>
        <w:jc w:val="both"/>
        <w:rPr>
          <w:color w:val="000000"/>
          <w:sz w:val="24"/>
          <w:szCs w:val="24"/>
          <w:lang w:val="es-US" w:eastAsia="es-ES"/>
        </w:rPr>
      </w:pPr>
      <w:r w:rsidRPr="00123E24">
        <w:rPr>
          <w:color w:val="000000"/>
          <w:sz w:val="24"/>
          <w:szCs w:val="24"/>
          <w:lang w:val="es-ES" w:eastAsia="es-ES"/>
        </w:rPr>
        <w:t>Por otra parte, l</w:t>
      </w:r>
      <w:r w:rsidR="007C5A79" w:rsidRPr="00123E24">
        <w:rPr>
          <w:color w:val="000000"/>
          <w:sz w:val="24"/>
          <w:szCs w:val="24"/>
          <w:lang w:val="es-ES" w:eastAsia="es-ES"/>
        </w:rPr>
        <w:t>a VcM es un proceso</w:t>
      </w:r>
      <w:r w:rsidR="00EC7771" w:rsidRPr="00123E24">
        <w:rPr>
          <w:color w:val="000000"/>
          <w:sz w:val="24"/>
          <w:szCs w:val="24"/>
          <w:lang w:val="es-ES" w:eastAsia="es-ES"/>
        </w:rPr>
        <w:t xml:space="preserve"> </w:t>
      </w:r>
      <w:r w:rsidR="007C5A79" w:rsidRPr="00123E24">
        <w:rPr>
          <w:color w:val="000000"/>
          <w:sz w:val="24"/>
          <w:szCs w:val="24"/>
          <w:lang w:val="es-ES" w:eastAsia="es-ES"/>
        </w:rPr>
        <w:t xml:space="preserve">que tiene su génesis en la teoría de la dirección organizacional, en particular de la gestión estratégica, donde las organizaciones establecen mecanismos de relación con el ambiente o entorno externo. Las IES reconocen que </w:t>
      </w:r>
      <w:r w:rsidR="007C5A79" w:rsidRPr="00123E24">
        <w:rPr>
          <w:color w:val="000000"/>
          <w:sz w:val="24"/>
          <w:szCs w:val="24"/>
          <w:lang w:val="es-US" w:eastAsia="es-ES"/>
        </w:rPr>
        <w:t xml:space="preserve">todos los fenómenos que suceden en el medio inciden de una manera u otra en su dinámica institucional y que estos deben ser </w:t>
      </w:r>
      <w:r w:rsidR="00D45B83" w:rsidRPr="00123E24">
        <w:rPr>
          <w:color w:val="000000"/>
          <w:sz w:val="24"/>
          <w:szCs w:val="24"/>
          <w:lang w:val="es-US" w:eastAsia="es-ES"/>
        </w:rPr>
        <w:t>tomados</w:t>
      </w:r>
      <w:r w:rsidR="007C5A79" w:rsidRPr="00123E24">
        <w:rPr>
          <w:color w:val="000000"/>
          <w:sz w:val="24"/>
          <w:szCs w:val="24"/>
          <w:lang w:val="es-US" w:eastAsia="es-ES"/>
        </w:rPr>
        <w:t xml:space="preserve"> en cuenta </w:t>
      </w:r>
      <w:r w:rsidR="007C5A79" w:rsidRPr="00123E24">
        <w:rPr>
          <w:color w:val="000000"/>
          <w:sz w:val="24"/>
          <w:szCs w:val="24"/>
          <w:lang w:val="es-ES" w:eastAsia="es-ES"/>
        </w:rPr>
        <w:t>en sus herramientas de gestión</w:t>
      </w:r>
      <w:r w:rsidR="003D5C51" w:rsidRPr="00123E24">
        <w:rPr>
          <w:color w:val="000000"/>
          <w:sz w:val="24"/>
          <w:szCs w:val="24"/>
          <w:lang w:val="es-ES" w:eastAsia="es-ES"/>
        </w:rPr>
        <w:t xml:space="preserve">, </w:t>
      </w:r>
      <w:r w:rsidR="007C5A79" w:rsidRPr="00123E24">
        <w:rPr>
          <w:color w:val="000000"/>
          <w:sz w:val="24"/>
          <w:szCs w:val="24"/>
          <w:lang w:val="es-ES" w:eastAsia="es-ES"/>
        </w:rPr>
        <w:t>objetivos estratégicos y criterios de medi</w:t>
      </w:r>
      <w:r w:rsidR="00D45B83" w:rsidRPr="00123E24">
        <w:rPr>
          <w:color w:val="000000"/>
          <w:sz w:val="24"/>
          <w:szCs w:val="24"/>
          <w:lang w:val="es-ES" w:eastAsia="es-ES"/>
        </w:rPr>
        <w:t>ción</w:t>
      </w:r>
      <w:r w:rsidR="007C5A79" w:rsidRPr="00123E24">
        <w:rPr>
          <w:color w:val="000000"/>
          <w:sz w:val="24"/>
          <w:szCs w:val="24"/>
          <w:lang w:val="es-ES" w:eastAsia="es-ES"/>
        </w:rPr>
        <w:t>, planes de desarrollo institucional y un conjunto de estrategias que operan en el campo académico en los procesos de docencia, investigación y extensión</w:t>
      </w:r>
      <w:r w:rsidR="003D5C51" w:rsidRPr="00123E24">
        <w:rPr>
          <w:color w:val="000000"/>
          <w:sz w:val="24"/>
          <w:szCs w:val="24"/>
          <w:lang w:val="es-ES" w:eastAsia="es-ES"/>
        </w:rPr>
        <w:t>. Esta mirada hacia el interior de las universidades permite un cuestionamiento permanente</w:t>
      </w:r>
      <w:r w:rsidR="007C5A79" w:rsidRPr="00123E24">
        <w:rPr>
          <w:color w:val="000000"/>
          <w:sz w:val="24"/>
          <w:szCs w:val="24"/>
          <w:lang w:val="es-ES" w:eastAsia="es-ES"/>
        </w:rPr>
        <w:t xml:space="preserve"> </w:t>
      </w:r>
      <w:r w:rsidR="003D5C51" w:rsidRPr="00123E24">
        <w:rPr>
          <w:color w:val="000000"/>
          <w:sz w:val="24"/>
          <w:szCs w:val="24"/>
          <w:lang w:val="es-ES" w:eastAsia="es-ES"/>
        </w:rPr>
        <w:t>de</w:t>
      </w:r>
      <w:r w:rsidR="007C5A79" w:rsidRPr="00123E24">
        <w:rPr>
          <w:color w:val="000000"/>
          <w:sz w:val="24"/>
          <w:szCs w:val="24"/>
          <w:lang w:val="es-ES" w:eastAsia="es-ES"/>
        </w:rPr>
        <w:t xml:space="preserve"> su rol en la sociedad y </w:t>
      </w:r>
      <w:r w:rsidR="00065DCE" w:rsidRPr="00123E24">
        <w:rPr>
          <w:color w:val="000000"/>
          <w:sz w:val="24"/>
          <w:szCs w:val="24"/>
          <w:lang w:val="es-ES" w:eastAsia="es-ES"/>
        </w:rPr>
        <w:t xml:space="preserve">de creación y renovación de los </w:t>
      </w:r>
      <w:r w:rsidR="00065DCE" w:rsidRPr="00123E24">
        <w:rPr>
          <w:color w:val="000000"/>
          <w:sz w:val="24"/>
          <w:szCs w:val="24"/>
          <w:lang w:val="es-ES" w:eastAsia="es-ES"/>
        </w:rPr>
        <w:lastRenderedPageBreak/>
        <w:t xml:space="preserve">mecanismos para </w:t>
      </w:r>
      <w:r w:rsidR="007C5A79" w:rsidRPr="00123E24">
        <w:rPr>
          <w:color w:val="000000"/>
          <w:sz w:val="24"/>
          <w:szCs w:val="24"/>
          <w:lang w:val="es-ES" w:eastAsia="es-ES"/>
        </w:rPr>
        <w:t xml:space="preserve">lograr una mayor integración a esta. Por esta razón se puede decir que la VcM es punto de partida y objetivo supremo del quehacer universitario. </w:t>
      </w:r>
    </w:p>
    <w:p w14:paraId="4ABAF5BE" w14:textId="77777777" w:rsidR="007C5A79" w:rsidRPr="00123E24" w:rsidRDefault="007C5A79" w:rsidP="006730A0">
      <w:pPr>
        <w:spacing w:line="360" w:lineRule="auto"/>
        <w:jc w:val="both"/>
        <w:rPr>
          <w:color w:val="000000"/>
          <w:sz w:val="24"/>
          <w:szCs w:val="24"/>
          <w:lang w:val="es-ES" w:eastAsia="es-ES"/>
        </w:rPr>
      </w:pPr>
      <w:r w:rsidRPr="00123E24">
        <w:rPr>
          <w:color w:val="000000"/>
          <w:sz w:val="24"/>
          <w:szCs w:val="24"/>
          <w:lang w:val="es-ES" w:eastAsia="es-ES"/>
        </w:rPr>
        <w:t xml:space="preserve">En tal sentido la VcM es una función esencial de la universidad, expresión de calidad, pertinencia y responsabilidad social universitaria. La misma cataliza el beneficio mutuo de las IES y de la sociedad a partir de su carácter bidireccional </w:t>
      </w:r>
      <w:r w:rsidRPr="00123E24">
        <w:rPr>
          <w:color w:val="000000"/>
          <w:sz w:val="24"/>
          <w:szCs w:val="24"/>
          <w:lang w:val="es-US" w:eastAsia="es-ES"/>
        </w:rPr>
        <w:t>(Music &amp; Venegas, 2020).</w:t>
      </w:r>
    </w:p>
    <w:p w14:paraId="01724F12" w14:textId="6ECE34DD" w:rsidR="007C5A79" w:rsidRPr="00123E24" w:rsidRDefault="007C5A79" w:rsidP="006730A0">
      <w:pPr>
        <w:spacing w:line="360" w:lineRule="auto"/>
        <w:jc w:val="both"/>
        <w:rPr>
          <w:color w:val="000000"/>
          <w:sz w:val="24"/>
          <w:szCs w:val="24"/>
          <w:lang w:val="es-ES" w:eastAsia="es-ES"/>
        </w:rPr>
      </w:pPr>
      <w:r w:rsidRPr="00123E24">
        <w:rPr>
          <w:color w:val="000000"/>
          <w:sz w:val="24"/>
          <w:szCs w:val="24"/>
          <w:lang w:val="es-ES" w:eastAsia="es-ES"/>
        </w:rPr>
        <w:t xml:space="preserve">A través de la VcM la universidad reconoce las demandas de formación de los entornos laborales y sociales, los cuales deben ser asumidos en el currículo del pregrado y postgrado como indicadores de calidad y pertinencia, impactando en la empleabilidad del egresado y en su formación </w:t>
      </w:r>
      <w:r w:rsidRPr="00123E24">
        <w:rPr>
          <w:color w:val="000000"/>
          <w:sz w:val="24"/>
          <w:szCs w:val="24"/>
          <w:lang w:val="es-US" w:eastAsia="es-ES"/>
        </w:rPr>
        <w:t xml:space="preserve">integral. </w:t>
      </w:r>
      <w:r w:rsidRPr="00123E24">
        <w:rPr>
          <w:color w:val="000000"/>
          <w:sz w:val="24"/>
          <w:szCs w:val="24"/>
          <w:lang w:val="es-ES" w:eastAsia="es-ES"/>
        </w:rPr>
        <w:t>En este sentido, las acciones universitarias se concretan en la actualización del currículo de</w:t>
      </w:r>
      <w:r w:rsidR="0093411F" w:rsidRPr="00123E24">
        <w:rPr>
          <w:color w:val="000000"/>
          <w:sz w:val="24"/>
          <w:szCs w:val="24"/>
          <w:lang w:val="es-ES" w:eastAsia="es-ES"/>
        </w:rPr>
        <w:t xml:space="preserve"> licenciaturas e ingenierías</w:t>
      </w:r>
      <w:r w:rsidRPr="00123E24">
        <w:rPr>
          <w:color w:val="000000"/>
          <w:sz w:val="24"/>
          <w:szCs w:val="24"/>
          <w:lang w:val="es-ES" w:eastAsia="es-ES"/>
        </w:rPr>
        <w:t xml:space="preserve"> y la implementación de los programas de formación continua (postgrados, capacitaciones, entrenamientos, asesorías, maestrías y doctorados, …). </w:t>
      </w:r>
    </w:p>
    <w:p w14:paraId="19501F3D" w14:textId="4268636C" w:rsidR="007C5A79" w:rsidRPr="00123E24" w:rsidRDefault="007C5A79" w:rsidP="006730A0">
      <w:pPr>
        <w:spacing w:line="360" w:lineRule="auto"/>
        <w:jc w:val="both"/>
        <w:rPr>
          <w:color w:val="000000"/>
          <w:sz w:val="24"/>
          <w:szCs w:val="24"/>
          <w:lang w:val="es-ES" w:eastAsia="es-ES"/>
        </w:rPr>
      </w:pPr>
      <w:r w:rsidRPr="00123E24">
        <w:rPr>
          <w:color w:val="000000"/>
          <w:sz w:val="24"/>
          <w:szCs w:val="24"/>
          <w:lang w:val="es-ES" w:eastAsia="es-ES"/>
        </w:rPr>
        <w:t>De igual manera la universidad en función de las tendencias de desarrollo y las problemáticas que enfrenta la región o país diseña el programa de innovación, desarrollo, transferencia de tecnología e investigación, como actor clave de los sistemas de innovación territorial para la generación de conocimiento socialmente válido (</w:t>
      </w:r>
      <w:proofErr w:type="spellStart"/>
      <w:r w:rsidRPr="00123E24">
        <w:rPr>
          <w:color w:val="000000"/>
          <w:sz w:val="24"/>
          <w:szCs w:val="24"/>
          <w:lang w:val="es-ES" w:eastAsia="es-ES"/>
        </w:rPr>
        <w:t>Coppa</w:t>
      </w:r>
      <w:proofErr w:type="spellEnd"/>
      <w:r w:rsidRPr="00123E24">
        <w:rPr>
          <w:color w:val="000000"/>
          <w:sz w:val="24"/>
          <w:szCs w:val="24"/>
          <w:lang w:val="es-ES" w:eastAsia="es-ES"/>
        </w:rPr>
        <w:t xml:space="preserve">, 2013); desplegando una gama de proyectos de </w:t>
      </w:r>
      <w:r w:rsidR="0093411F" w:rsidRPr="00123E24">
        <w:rPr>
          <w:color w:val="000000"/>
          <w:sz w:val="24"/>
          <w:szCs w:val="24"/>
          <w:lang w:val="es-ES" w:eastAsia="es-ES"/>
        </w:rPr>
        <w:t>Investigación, Desarrollo e Innovación (</w:t>
      </w:r>
      <w:r w:rsidRPr="00123E24">
        <w:rPr>
          <w:color w:val="000000"/>
          <w:sz w:val="24"/>
          <w:szCs w:val="24"/>
          <w:lang w:val="es-ES" w:eastAsia="es-ES"/>
        </w:rPr>
        <w:t>I+D+i</w:t>
      </w:r>
      <w:r w:rsidR="0093411F" w:rsidRPr="00123E24">
        <w:rPr>
          <w:color w:val="000000"/>
          <w:sz w:val="24"/>
          <w:szCs w:val="24"/>
          <w:lang w:val="es-ES" w:eastAsia="es-ES"/>
        </w:rPr>
        <w:t>)</w:t>
      </w:r>
      <w:r w:rsidRPr="00123E24">
        <w:rPr>
          <w:color w:val="000000"/>
          <w:sz w:val="24"/>
          <w:szCs w:val="24"/>
          <w:lang w:val="es-ES" w:eastAsia="es-ES"/>
        </w:rPr>
        <w:t xml:space="preserve">, y de investigaciones formativas que dinamizan la gestión del conocimiento en función de los ejes estratégicos de desarrollo de la sociedad. </w:t>
      </w:r>
    </w:p>
    <w:p w14:paraId="3CD05595" w14:textId="77777777" w:rsidR="003672EA" w:rsidRPr="00123E24" w:rsidRDefault="003672EA" w:rsidP="006730A0">
      <w:pPr>
        <w:spacing w:line="360" w:lineRule="auto"/>
        <w:jc w:val="both"/>
        <w:rPr>
          <w:i/>
          <w:iCs/>
          <w:color w:val="000000"/>
          <w:sz w:val="24"/>
          <w:szCs w:val="24"/>
          <w:lang w:val="es-ES" w:eastAsia="es-ES"/>
        </w:rPr>
      </w:pPr>
    </w:p>
    <w:p w14:paraId="31CB1565" w14:textId="62DCBBA7" w:rsidR="007C5A79" w:rsidRPr="00123E24" w:rsidRDefault="007C5A79" w:rsidP="006730A0">
      <w:pPr>
        <w:spacing w:line="360" w:lineRule="auto"/>
        <w:jc w:val="both"/>
        <w:rPr>
          <w:i/>
          <w:iCs/>
          <w:color w:val="000000"/>
          <w:sz w:val="24"/>
          <w:szCs w:val="24"/>
          <w:lang w:val="es-ES" w:eastAsia="es-ES"/>
        </w:rPr>
      </w:pPr>
      <w:r w:rsidRPr="00123E24">
        <w:rPr>
          <w:i/>
          <w:iCs/>
          <w:color w:val="000000"/>
          <w:sz w:val="24"/>
          <w:szCs w:val="24"/>
          <w:lang w:val="es-ES" w:eastAsia="es-ES"/>
        </w:rPr>
        <w:t>Principales barreras de la formación investigativa de los egresados universitarios.</w:t>
      </w:r>
    </w:p>
    <w:p w14:paraId="57008571" w14:textId="77777777" w:rsidR="007C5A79" w:rsidRPr="00123E24" w:rsidRDefault="007C5A79" w:rsidP="006730A0">
      <w:pPr>
        <w:spacing w:line="360" w:lineRule="auto"/>
        <w:jc w:val="both"/>
        <w:rPr>
          <w:color w:val="000000"/>
          <w:sz w:val="24"/>
          <w:szCs w:val="24"/>
          <w:lang w:val="es-ES" w:eastAsia="es-ES"/>
        </w:rPr>
      </w:pPr>
      <w:r w:rsidRPr="00123E24">
        <w:rPr>
          <w:color w:val="000000"/>
          <w:sz w:val="24"/>
          <w:szCs w:val="24"/>
          <w:lang w:val="es-ES" w:eastAsia="es-ES"/>
        </w:rPr>
        <w:t>En la actualidad existen un conjunto de barreras que obstaculizan la formación investigativa de los futuros egresados que pueden ser atendidos desde una adecuada VcM, dentro de ellos se destacan:</w:t>
      </w:r>
    </w:p>
    <w:p w14:paraId="4A0C15A8" w14:textId="77777777" w:rsidR="007C5A79" w:rsidRPr="00123E24" w:rsidRDefault="007C5A79" w:rsidP="006730A0">
      <w:pPr>
        <w:numPr>
          <w:ilvl w:val="0"/>
          <w:numId w:val="29"/>
        </w:numPr>
        <w:spacing w:line="360" w:lineRule="auto"/>
        <w:jc w:val="both"/>
        <w:rPr>
          <w:color w:val="000000"/>
          <w:sz w:val="24"/>
          <w:szCs w:val="24"/>
          <w:lang w:val="es-ES" w:eastAsia="es-ES"/>
        </w:rPr>
      </w:pPr>
      <w:r w:rsidRPr="00123E24">
        <w:rPr>
          <w:color w:val="000000"/>
          <w:sz w:val="24"/>
          <w:szCs w:val="24"/>
          <w:lang w:val="es-ES" w:eastAsia="es-ES"/>
        </w:rPr>
        <w:t>Carencia de situaciones profesionales retadoras, actualizadas y de alto valor en el tejido empresarial más próximo a las IES, que sean tomadas como punto de partida para hacer pertinente y más motivadores los temas que se abordan en los diferentes cursos.</w:t>
      </w:r>
    </w:p>
    <w:p w14:paraId="4CA7A8D8" w14:textId="2143A2D2" w:rsidR="007C5A79" w:rsidRPr="00123E24" w:rsidRDefault="007C5A79" w:rsidP="006730A0">
      <w:pPr>
        <w:numPr>
          <w:ilvl w:val="0"/>
          <w:numId w:val="29"/>
        </w:numPr>
        <w:spacing w:line="360" w:lineRule="auto"/>
        <w:jc w:val="both"/>
        <w:rPr>
          <w:color w:val="000000"/>
          <w:sz w:val="24"/>
          <w:szCs w:val="24"/>
          <w:lang w:val="es-ES" w:eastAsia="es-ES"/>
        </w:rPr>
      </w:pPr>
      <w:r w:rsidRPr="00123E24">
        <w:rPr>
          <w:color w:val="000000"/>
          <w:sz w:val="24"/>
          <w:szCs w:val="24"/>
          <w:lang w:val="es-ES" w:eastAsia="es-ES"/>
        </w:rPr>
        <w:t>Débil sinergia de los docentes con los contextos profesionales y los diferentes campos de actuación de las disciplinas que imparte</w:t>
      </w:r>
      <w:r w:rsidR="005F4826" w:rsidRPr="00123E24">
        <w:rPr>
          <w:color w:val="000000"/>
          <w:sz w:val="24"/>
          <w:szCs w:val="24"/>
          <w:lang w:val="es-ES" w:eastAsia="es-ES"/>
        </w:rPr>
        <w:t>,</w:t>
      </w:r>
      <w:r w:rsidRPr="00123E24">
        <w:rPr>
          <w:color w:val="000000"/>
          <w:sz w:val="24"/>
          <w:szCs w:val="24"/>
          <w:lang w:val="es-ES" w:eastAsia="es-ES"/>
        </w:rPr>
        <w:t xml:space="preserve"> trayendo consigo una desactualización de su propio perfil profesional como docente universitario limitando a posteriori su competencia docente. </w:t>
      </w:r>
    </w:p>
    <w:p w14:paraId="57054600" w14:textId="77777777" w:rsidR="007C5A79" w:rsidRPr="00123E24" w:rsidRDefault="007C5A79" w:rsidP="006730A0">
      <w:pPr>
        <w:numPr>
          <w:ilvl w:val="0"/>
          <w:numId w:val="29"/>
        </w:numPr>
        <w:spacing w:line="360" w:lineRule="auto"/>
        <w:jc w:val="both"/>
        <w:rPr>
          <w:color w:val="000000"/>
          <w:sz w:val="24"/>
          <w:szCs w:val="24"/>
          <w:lang w:val="es-ES" w:eastAsia="es-ES"/>
        </w:rPr>
      </w:pPr>
      <w:r w:rsidRPr="00123E24">
        <w:rPr>
          <w:color w:val="000000"/>
          <w:sz w:val="24"/>
          <w:szCs w:val="24"/>
          <w:lang w:val="es-ES" w:eastAsia="es-ES"/>
        </w:rPr>
        <w:t xml:space="preserve">Enfoques didácticos de marcada orientación memorística, centrada en la enseñanza de contenidos en detrimento de los métodos de enseñanza-aprendizaje activos, próximos a los métodos de trabajo propios del contexto profesional, propiciadores de la capacidad de “aprender a aprender” a lo largo de la vida. </w:t>
      </w:r>
    </w:p>
    <w:p w14:paraId="005B5E8C" w14:textId="77777777" w:rsidR="007C5A79" w:rsidRPr="00123E24" w:rsidRDefault="007C5A79" w:rsidP="006730A0">
      <w:pPr>
        <w:numPr>
          <w:ilvl w:val="0"/>
          <w:numId w:val="29"/>
        </w:numPr>
        <w:spacing w:line="360" w:lineRule="auto"/>
        <w:jc w:val="both"/>
        <w:rPr>
          <w:color w:val="000000"/>
          <w:sz w:val="24"/>
          <w:szCs w:val="24"/>
          <w:lang w:val="es-ES" w:eastAsia="es-ES"/>
        </w:rPr>
      </w:pPr>
      <w:r w:rsidRPr="00123E24">
        <w:rPr>
          <w:color w:val="000000"/>
          <w:sz w:val="24"/>
          <w:szCs w:val="24"/>
          <w:lang w:val="es-ES" w:eastAsia="es-ES"/>
        </w:rPr>
        <w:t>Débil mecanismos de institucionalización de la investigación científica al interior de las universidades, así como vinculadas al entorno profesional, los cuales no impactan en el establecimiento de líneas y proyectos de investigación pertinentes.</w:t>
      </w:r>
    </w:p>
    <w:p w14:paraId="4C46CD97" w14:textId="77777777" w:rsidR="007C5A79" w:rsidRPr="00123E24" w:rsidRDefault="007C5A79" w:rsidP="006730A0">
      <w:pPr>
        <w:numPr>
          <w:ilvl w:val="0"/>
          <w:numId w:val="29"/>
        </w:numPr>
        <w:spacing w:line="360" w:lineRule="auto"/>
        <w:jc w:val="both"/>
        <w:rPr>
          <w:color w:val="000000"/>
          <w:sz w:val="24"/>
          <w:szCs w:val="24"/>
          <w:lang w:val="es-ES" w:eastAsia="es-ES"/>
        </w:rPr>
      </w:pPr>
      <w:r w:rsidRPr="00123E24">
        <w:rPr>
          <w:color w:val="000000"/>
          <w:sz w:val="24"/>
          <w:szCs w:val="24"/>
          <w:lang w:val="es-ES" w:eastAsia="es-ES"/>
        </w:rPr>
        <w:lastRenderedPageBreak/>
        <w:t xml:space="preserve">La naturaleza ciertos mecanismos de vinculación de las IES con el medio en muchos casos traen consigo que en aquellas universidades que tienen limitaciones en la gestión de la investigación y la transferencia de tecnología a modo de observatorio, finalmente terminan “aproximándose al sector empresarial” cuando en verdad debían ser líderes en el acompañamiento al sistema empresarial. </w:t>
      </w:r>
    </w:p>
    <w:p w14:paraId="534A048E" w14:textId="7561539A" w:rsidR="007C5A79" w:rsidRPr="00123E24" w:rsidRDefault="007C5A79" w:rsidP="006730A0">
      <w:pPr>
        <w:spacing w:line="360" w:lineRule="auto"/>
        <w:jc w:val="both"/>
        <w:rPr>
          <w:color w:val="000000"/>
          <w:sz w:val="24"/>
          <w:szCs w:val="24"/>
          <w:lang w:val="es-ES" w:eastAsia="es-ES"/>
        </w:rPr>
      </w:pPr>
      <w:r w:rsidRPr="00123E24">
        <w:rPr>
          <w:color w:val="000000"/>
          <w:sz w:val="24"/>
          <w:szCs w:val="24"/>
          <w:lang w:val="es-ES" w:eastAsia="es-ES"/>
        </w:rPr>
        <w:t xml:space="preserve">A estas barreras antes mencionadas, se une una situación mucho más compleja y que tiene en cierta medida su causa en la “desconexión”, en la ruptura del VcM: la reducción de la formación investigativa en no pocas universidades a los cursos de metodología de la investigación, los </w:t>
      </w:r>
      <w:proofErr w:type="gramStart"/>
      <w:r w:rsidRPr="00123E24">
        <w:rPr>
          <w:color w:val="000000"/>
          <w:sz w:val="24"/>
          <w:szCs w:val="24"/>
          <w:lang w:val="es-ES" w:eastAsia="es-ES"/>
        </w:rPr>
        <w:t>que</w:t>
      </w:r>
      <w:proofErr w:type="gramEnd"/>
      <w:r w:rsidRPr="00123E24">
        <w:rPr>
          <w:color w:val="000000"/>
          <w:sz w:val="24"/>
          <w:szCs w:val="24"/>
          <w:lang w:val="es-ES" w:eastAsia="es-ES"/>
        </w:rPr>
        <w:t xml:space="preserve"> por demás, al no nutrirse del medio (sociedad y tejido empresarial) suelen estar descontextualizados (de Becerra, 2012). Unido a una marcada ausencia </w:t>
      </w:r>
      <w:r w:rsidR="001C0F2C" w:rsidRPr="00123E24">
        <w:rPr>
          <w:color w:val="000000"/>
          <w:sz w:val="24"/>
          <w:szCs w:val="24"/>
          <w:lang w:val="es-ES" w:eastAsia="es-ES"/>
        </w:rPr>
        <w:t xml:space="preserve">de </w:t>
      </w:r>
      <w:r w:rsidRPr="00123E24">
        <w:rPr>
          <w:color w:val="000000"/>
          <w:sz w:val="24"/>
          <w:szCs w:val="24"/>
          <w:lang w:val="es-ES" w:eastAsia="es-ES"/>
        </w:rPr>
        <w:t xml:space="preserve">contenidos de sociología de la ciencia, política científico- tecnológica y </w:t>
      </w:r>
      <w:r w:rsidR="001C0F2C" w:rsidRPr="00123E24">
        <w:rPr>
          <w:color w:val="000000"/>
          <w:sz w:val="24"/>
          <w:szCs w:val="24"/>
          <w:lang w:val="es-ES" w:eastAsia="es-ES"/>
        </w:rPr>
        <w:t>aspectos relacionados con</w:t>
      </w:r>
      <w:r w:rsidRPr="00123E24">
        <w:rPr>
          <w:color w:val="000000"/>
          <w:sz w:val="24"/>
          <w:szCs w:val="24"/>
          <w:lang w:val="es-ES" w:eastAsia="es-ES"/>
        </w:rPr>
        <w:t xml:space="preserve"> los sistemas nacionales de ciencia. </w:t>
      </w:r>
    </w:p>
    <w:p w14:paraId="55210193" w14:textId="77777777" w:rsidR="001C0F2C" w:rsidRPr="00123E24" w:rsidRDefault="001C0F2C" w:rsidP="006730A0">
      <w:pPr>
        <w:spacing w:line="360" w:lineRule="auto"/>
        <w:jc w:val="both"/>
        <w:rPr>
          <w:i/>
          <w:iCs/>
          <w:color w:val="000000"/>
          <w:sz w:val="24"/>
          <w:szCs w:val="24"/>
          <w:lang w:val="es-ES" w:eastAsia="es-ES"/>
        </w:rPr>
      </w:pPr>
    </w:p>
    <w:p w14:paraId="599D969F" w14:textId="4917E9BB" w:rsidR="007C5A79" w:rsidRPr="00123E24" w:rsidRDefault="007C5A79" w:rsidP="006730A0">
      <w:pPr>
        <w:spacing w:line="360" w:lineRule="auto"/>
        <w:jc w:val="both"/>
        <w:rPr>
          <w:i/>
          <w:iCs/>
          <w:color w:val="000000"/>
          <w:sz w:val="24"/>
          <w:szCs w:val="24"/>
          <w:lang w:val="es-ES" w:eastAsia="es-ES"/>
        </w:rPr>
      </w:pPr>
      <w:r w:rsidRPr="00123E24">
        <w:rPr>
          <w:i/>
          <w:iCs/>
          <w:color w:val="000000"/>
          <w:sz w:val="24"/>
          <w:szCs w:val="24"/>
          <w:lang w:val="es-ES" w:eastAsia="es-ES"/>
        </w:rPr>
        <w:t xml:space="preserve">Ruta metodológica para solventar las barreas en la formación investigativa desde el proceso de VcM. </w:t>
      </w:r>
    </w:p>
    <w:p w14:paraId="0DA84634" w14:textId="6DD22112" w:rsidR="007C5A79" w:rsidRPr="00123E24" w:rsidRDefault="007C5A79" w:rsidP="006730A0">
      <w:pPr>
        <w:spacing w:line="360" w:lineRule="auto"/>
        <w:jc w:val="both"/>
        <w:rPr>
          <w:color w:val="000000"/>
          <w:sz w:val="24"/>
          <w:szCs w:val="24"/>
          <w:lang w:val="es-US" w:eastAsia="es-ES"/>
        </w:rPr>
      </w:pPr>
      <w:r w:rsidRPr="00123E24">
        <w:rPr>
          <w:color w:val="000000"/>
          <w:sz w:val="24"/>
          <w:szCs w:val="24"/>
          <w:lang w:val="es-ES" w:eastAsia="es-ES"/>
        </w:rPr>
        <w:t xml:space="preserve">Con el propósito de generar cambios a favor de la formación investigativa desde el prisma de la VcM se considera necesario trabajar en aspectos referentes a la institucionalización del proceso, la visión </w:t>
      </w:r>
      <w:r w:rsidRPr="00123E24">
        <w:rPr>
          <w:color w:val="000000"/>
          <w:sz w:val="24"/>
          <w:szCs w:val="24"/>
          <w:lang w:val="es-US" w:eastAsia="es-ES"/>
        </w:rPr>
        <w:t xml:space="preserve">sociofilosófica, pedagógica, curricular, didáctica y sujetos del proceso de los modelos universitarios y su gestión. </w:t>
      </w:r>
      <w:r w:rsidR="003A35A3" w:rsidRPr="00123E24">
        <w:rPr>
          <w:color w:val="000000"/>
          <w:sz w:val="24"/>
          <w:szCs w:val="24"/>
          <w:lang w:val="es-US" w:eastAsia="es-ES"/>
        </w:rPr>
        <w:t xml:space="preserve">La figura </w:t>
      </w:r>
      <w:r w:rsidR="0093411F" w:rsidRPr="00123E24">
        <w:rPr>
          <w:color w:val="000000"/>
          <w:sz w:val="24"/>
          <w:szCs w:val="24"/>
          <w:lang w:val="es-US" w:eastAsia="es-ES"/>
        </w:rPr>
        <w:t>número</w:t>
      </w:r>
      <w:r w:rsidR="003A35A3" w:rsidRPr="00123E24">
        <w:rPr>
          <w:color w:val="000000"/>
          <w:sz w:val="24"/>
          <w:szCs w:val="24"/>
          <w:lang w:val="es-US" w:eastAsia="es-ES"/>
        </w:rPr>
        <w:t xml:space="preserve"> 1 muestra los aspectos fundamentales de esta ruta.</w:t>
      </w:r>
    </w:p>
    <w:p w14:paraId="0B99F6B6" w14:textId="77777777" w:rsidR="007C5A79" w:rsidRPr="00123E24" w:rsidRDefault="007C5A79" w:rsidP="006730A0">
      <w:pPr>
        <w:spacing w:line="360" w:lineRule="auto"/>
        <w:jc w:val="both"/>
        <w:rPr>
          <w:color w:val="000000"/>
          <w:sz w:val="24"/>
          <w:szCs w:val="24"/>
          <w:lang w:val="es-US" w:eastAsia="es-ES"/>
        </w:rPr>
      </w:pPr>
    </w:p>
    <w:p w14:paraId="12B27E65" w14:textId="77777777" w:rsidR="00DC725D" w:rsidRPr="00123E24" w:rsidRDefault="00DC725D" w:rsidP="006730A0">
      <w:pPr>
        <w:spacing w:line="360" w:lineRule="auto"/>
        <w:jc w:val="both"/>
        <w:rPr>
          <w:color w:val="000000"/>
          <w:sz w:val="24"/>
          <w:szCs w:val="24"/>
          <w:lang w:val="es-US" w:eastAsia="es-ES"/>
        </w:rPr>
      </w:pPr>
      <w:r w:rsidRPr="00123E24">
        <w:rPr>
          <w:color w:val="000000"/>
          <w:sz w:val="24"/>
          <w:szCs w:val="24"/>
          <w:lang w:val="es-US" w:eastAsia="es-ES"/>
        </w:rPr>
        <w:t xml:space="preserve">Principales acciones de la ruta metodológica. </w:t>
      </w:r>
    </w:p>
    <w:p w14:paraId="64A7A78E" w14:textId="77777777" w:rsidR="00DC725D" w:rsidRPr="00123E24" w:rsidRDefault="00DC725D" w:rsidP="006730A0">
      <w:pPr>
        <w:spacing w:line="360" w:lineRule="auto"/>
        <w:jc w:val="both"/>
        <w:rPr>
          <w:color w:val="000000"/>
          <w:sz w:val="24"/>
          <w:szCs w:val="24"/>
          <w:lang w:val="es-ES" w:eastAsia="es-ES"/>
        </w:rPr>
      </w:pPr>
      <w:r w:rsidRPr="00123E24">
        <w:rPr>
          <w:i/>
          <w:iCs/>
          <w:color w:val="000000"/>
          <w:sz w:val="24"/>
          <w:szCs w:val="24"/>
          <w:lang w:val="es-ES" w:eastAsia="es-ES"/>
        </w:rPr>
        <w:t xml:space="preserve">Visión sociofilosófica. </w:t>
      </w:r>
    </w:p>
    <w:p w14:paraId="0ED3DBA4" w14:textId="77777777" w:rsidR="00DC725D" w:rsidRPr="00123E24" w:rsidRDefault="00DC725D" w:rsidP="006730A0">
      <w:pPr>
        <w:numPr>
          <w:ilvl w:val="0"/>
          <w:numId w:val="34"/>
        </w:numPr>
        <w:spacing w:line="360" w:lineRule="auto"/>
        <w:jc w:val="both"/>
        <w:rPr>
          <w:color w:val="000000"/>
          <w:sz w:val="24"/>
          <w:szCs w:val="24"/>
          <w:lang w:val="es-ES" w:eastAsia="es-ES"/>
        </w:rPr>
      </w:pPr>
      <w:r w:rsidRPr="00123E24">
        <w:rPr>
          <w:color w:val="000000"/>
          <w:sz w:val="24"/>
          <w:szCs w:val="24"/>
          <w:lang w:val="es-ES" w:eastAsia="es-ES"/>
        </w:rPr>
        <w:t>Someter a juicio valorativo el nivel de concreción del rol de la universidad en la formación investigativa del estudiante.</w:t>
      </w:r>
    </w:p>
    <w:p w14:paraId="709DC904" w14:textId="77777777" w:rsidR="00DC725D" w:rsidRPr="00123E24" w:rsidRDefault="00DC725D" w:rsidP="006730A0">
      <w:pPr>
        <w:numPr>
          <w:ilvl w:val="0"/>
          <w:numId w:val="34"/>
        </w:numPr>
        <w:spacing w:line="360" w:lineRule="auto"/>
        <w:jc w:val="both"/>
        <w:rPr>
          <w:color w:val="000000"/>
          <w:sz w:val="24"/>
          <w:szCs w:val="24"/>
          <w:lang w:val="es-ES" w:eastAsia="es-ES"/>
        </w:rPr>
      </w:pPr>
      <w:r w:rsidRPr="00123E24">
        <w:rPr>
          <w:color w:val="000000"/>
          <w:sz w:val="24"/>
          <w:szCs w:val="24"/>
          <w:lang w:val="es-ES" w:eastAsia="es-ES"/>
        </w:rPr>
        <w:t>Evaluar cómo se manifiesta en el perfil de egreso la formación investigativa del egresado.</w:t>
      </w:r>
    </w:p>
    <w:p w14:paraId="2C9A51FA" w14:textId="70357F42" w:rsidR="007C5A79" w:rsidRPr="00123E24" w:rsidRDefault="00DC725D" w:rsidP="006730A0">
      <w:pPr>
        <w:spacing w:line="360" w:lineRule="auto"/>
        <w:jc w:val="both"/>
        <w:rPr>
          <w:color w:val="000000"/>
          <w:sz w:val="24"/>
          <w:szCs w:val="24"/>
          <w:lang w:val="es-US" w:eastAsia="es-ES"/>
        </w:rPr>
      </w:pPr>
      <w:r w:rsidRPr="00123E24">
        <w:rPr>
          <w:color w:val="000000"/>
          <w:sz w:val="24"/>
          <w:szCs w:val="24"/>
          <w:lang w:val="es-ES" w:eastAsia="es-ES"/>
        </w:rPr>
        <w:t>Establecimiento de principios y valores afines a la cultura investigativa.</w:t>
      </w:r>
    </w:p>
    <w:p w14:paraId="37479D97" w14:textId="77777777" w:rsidR="007C5A79" w:rsidRPr="00123E24" w:rsidRDefault="007C5A79" w:rsidP="006730A0">
      <w:pPr>
        <w:spacing w:line="360" w:lineRule="auto"/>
        <w:jc w:val="center"/>
        <w:rPr>
          <w:color w:val="000000"/>
          <w:sz w:val="24"/>
          <w:szCs w:val="24"/>
          <w:lang w:val="es-US" w:eastAsia="es-ES"/>
        </w:rPr>
      </w:pPr>
      <w:r w:rsidRPr="00123E24">
        <w:rPr>
          <w:noProof/>
          <w:color w:val="000000"/>
          <w:sz w:val="24"/>
          <w:szCs w:val="24"/>
          <w:lang w:val="es-US" w:eastAsia="es-ES"/>
        </w:rPr>
        <w:lastRenderedPageBreak/>
        <w:drawing>
          <wp:inline distT="0" distB="0" distL="0" distR="0" wp14:anchorId="02AE42FB" wp14:editId="1D8A8059">
            <wp:extent cx="5042192" cy="2895600"/>
            <wp:effectExtent l="0" t="0" r="6350" b="0"/>
            <wp:docPr id="15535802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80275" name=""/>
                    <pic:cNvPicPr/>
                  </pic:nvPicPr>
                  <pic:blipFill>
                    <a:blip r:embed="rId8"/>
                    <a:stretch>
                      <a:fillRect/>
                    </a:stretch>
                  </pic:blipFill>
                  <pic:spPr>
                    <a:xfrm>
                      <a:off x="0" y="0"/>
                      <a:ext cx="5249216" cy="3014489"/>
                    </a:xfrm>
                    <a:prstGeom prst="rect">
                      <a:avLst/>
                    </a:prstGeom>
                  </pic:spPr>
                </pic:pic>
              </a:graphicData>
            </a:graphic>
          </wp:inline>
        </w:drawing>
      </w:r>
    </w:p>
    <w:p w14:paraId="5175856B" w14:textId="2D7A7283" w:rsidR="007C5A79" w:rsidRPr="00123E24" w:rsidRDefault="00D45B83" w:rsidP="006730A0">
      <w:pPr>
        <w:spacing w:line="360" w:lineRule="auto"/>
        <w:jc w:val="center"/>
        <w:rPr>
          <w:i/>
          <w:iCs/>
          <w:color w:val="000000" w:themeColor="text1"/>
          <w:sz w:val="21"/>
          <w:szCs w:val="21"/>
          <w:lang w:val="es-US" w:eastAsia="es-ES"/>
        </w:rPr>
      </w:pPr>
      <w:r w:rsidRPr="00123E24">
        <w:rPr>
          <w:b/>
          <w:bCs/>
          <w:i/>
          <w:iCs/>
          <w:color w:val="FF0000"/>
          <w:sz w:val="24"/>
          <w:szCs w:val="24"/>
          <w:lang w:val="es-US" w:eastAsia="es-ES"/>
        </w:rPr>
        <w:t xml:space="preserve"> </w:t>
      </w:r>
      <w:r w:rsidR="009C5AB5" w:rsidRPr="00123E24">
        <w:rPr>
          <w:i/>
          <w:iCs/>
          <w:color w:val="000000" w:themeColor="text1"/>
          <w:sz w:val="21"/>
          <w:szCs w:val="21"/>
          <w:lang w:val="es-US" w:eastAsia="es-ES"/>
        </w:rPr>
        <w:t xml:space="preserve">Fig. </w:t>
      </w:r>
      <w:r w:rsidR="00DC725D" w:rsidRPr="00123E24">
        <w:rPr>
          <w:i/>
          <w:iCs/>
          <w:color w:val="000000" w:themeColor="text1"/>
          <w:sz w:val="21"/>
          <w:szCs w:val="21"/>
          <w:lang w:val="es-US" w:eastAsia="es-ES"/>
        </w:rPr>
        <w:t>1 -</w:t>
      </w:r>
      <w:r w:rsidR="009C5AB5" w:rsidRPr="00123E24">
        <w:rPr>
          <w:i/>
          <w:iCs/>
          <w:color w:val="000000" w:themeColor="text1"/>
          <w:sz w:val="21"/>
          <w:szCs w:val="21"/>
          <w:lang w:val="es-US" w:eastAsia="es-ES"/>
        </w:rPr>
        <w:t xml:space="preserve"> Ruta metodológica para la formación investigativa desde el proceso de VcM</w:t>
      </w:r>
    </w:p>
    <w:p w14:paraId="61B87BB9" w14:textId="77777777" w:rsidR="0075382D" w:rsidRPr="00123E24" w:rsidRDefault="0075382D" w:rsidP="006730A0">
      <w:pPr>
        <w:spacing w:line="360" w:lineRule="auto"/>
        <w:jc w:val="both"/>
        <w:rPr>
          <w:color w:val="000000"/>
          <w:sz w:val="24"/>
          <w:szCs w:val="24"/>
          <w:lang w:val="es-US" w:eastAsia="es-ES"/>
        </w:rPr>
      </w:pPr>
    </w:p>
    <w:p w14:paraId="53402661" w14:textId="77777777" w:rsidR="0072345C" w:rsidRPr="00123E24" w:rsidRDefault="007C5A79" w:rsidP="006730A0">
      <w:pPr>
        <w:spacing w:line="360" w:lineRule="auto"/>
        <w:jc w:val="both"/>
        <w:rPr>
          <w:i/>
          <w:iCs/>
          <w:color w:val="000000"/>
          <w:sz w:val="24"/>
          <w:szCs w:val="24"/>
          <w:lang w:val="es-ES" w:eastAsia="es-ES"/>
        </w:rPr>
      </w:pPr>
      <w:r w:rsidRPr="00123E24">
        <w:rPr>
          <w:i/>
          <w:iCs/>
          <w:color w:val="000000"/>
          <w:sz w:val="24"/>
          <w:szCs w:val="24"/>
          <w:lang w:val="es-ES_tradnl" w:eastAsia="es-ES"/>
        </w:rPr>
        <w:t>Institucionalización del proceso y mecanismos de la formación investigativa</w:t>
      </w:r>
      <w:r w:rsidRPr="00123E24">
        <w:rPr>
          <w:i/>
          <w:iCs/>
          <w:color w:val="000000"/>
          <w:sz w:val="24"/>
          <w:szCs w:val="24"/>
          <w:lang w:val="es-ES" w:eastAsia="es-ES"/>
        </w:rPr>
        <w:t xml:space="preserve">. </w:t>
      </w:r>
    </w:p>
    <w:p w14:paraId="6BABFACB" w14:textId="00658F89" w:rsidR="007C5A79" w:rsidRPr="00123E24" w:rsidRDefault="007C5A79" w:rsidP="006730A0">
      <w:pPr>
        <w:spacing w:line="360" w:lineRule="auto"/>
        <w:jc w:val="both"/>
        <w:rPr>
          <w:i/>
          <w:iCs/>
          <w:color w:val="000000"/>
          <w:sz w:val="24"/>
          <w:szCs w:val="24"/>
          <w:lang w:val="es-US" w:eastAsia="es-ES"/>
        </w:rPr>
      </w:pPr>
      <w:r w:rsidRPr="00123E24">
        <w:rPr>
          <w:color w:val="000000"/>
          <w:sz w:val="24"/>
          <w:szCs w:val="24"/>
          <w:lang w:val="es-ES" w:eastAsia="es-ES"/>
        </w:rPr>
        <w:t>Hemos considerado oportuno jerarquizar esta dimensión dado por dos razones básicas: la primera, porque la institucionalización de los procesos es referente donde se sintetiza toda la cultura organizacional de la institución, principios, valores misión y visión; segundo y no menos importante</w:t>
      </w:r>
      <w:r w:rsidR="00FA2988" w:rsidRPr="00123E24">
        <w:rPr>
          <w:color w:val="000000"/>
          <w:sz w:val="24"/>
          <w:szCs w:val="24"/>
          <w:lang w:val="es-ES" w:eastAsia="es-ES"/>
        </w:rPr>
        <w:t>,</w:t>
      </w:r>
      <w:r w:rsidRPr="00123E24">
        <w:rPr>
          <w:color w:val="000000"/>
          <w:sz w:val="24"/>
          <w:szCs w:val="24"/>
          <w:lang w:val="es-ES" w:eastAsia="es-ES"/>
        </w:rPr>
        <w:t xml:space="preserve"> porque la institucionalización de los procesos debe ser resultado de la participación masiva y democrática de la comunidad universitaria, no solo de los altos órganos de dirección y gestión. De modo que docentes, estudiantes y entidades de la sociedad participen de la modelación de los procesos según su posición en la red de actores. </w:t>
      </w:r>
      <w:r w:rsidR="00FA2988" w:rsidRPr="00123E24">
        <w:rPr>
          <w:color w:val="000000"/>
          <w:sz w:val="24"/>
          <w:szCs w:val="24"/>
          <w:lang w:val="es-ES" w:eastAsia="es-ES"/>
        </w:rPr>
        <w:t>Acciones:</w:t>
      </w:r>
    </w:p>
    <w:p w14:paraId="3FC13302" w14:textId="77777777" w:rsidR="007C5A79" w:rsidRPr="00123E24" w:rsidRDefault="007C5A79" w:rsidP="006730A0">
      <w:pPr>
        <w:numPr>
          <w:ilvl w:val="0"/>
          <w:numId w:val="31"/>
        </w:numPr>
        <w:spacing w:line="360" w:lineRule="auto"/>
        <w:jc w:val="both"/>
        <w:rPr>
          <w:color w:val="000000"/>
          <w:sz w:val="24"/>
          <w:szCs w:val="24"/>
          <w:lang w:val="es-ES" w:eastAsia="es-ES"/>
        </w:rPr>
      </w:pPr>
      <w:r w:rsidRPr="00123E24">
        <w:rPr>
          <w:color w:val="000000"/>
          <w:sz w:val="24"/>
          <w:szCs w:val="24"/>
          <w:lang w:val="es-ES" w:eastAsia="es-ES"/>
        </w:rPr>
        <w:t>Concebir los mecanismos y periodicidad del proceso de actualización de las competencias investigativas.</w:t>
      </w:r>
    </w:p>
    <w:p w14:paraId="71CEB7E7" w14:textId="77777777" w:rsidR="007C5A79" w:rsidRPr="00123E24" w:rsidRDefault="007C5A79" w:rsidP="006730A0">
      <w:pPr>
        <w:numPr>
          <w:ilvl w:val="0"/>
          <w:numId w:val="31"/>
        </w:numPr>
        <w:spacing w:line="360" w:lineRule="auto"/>
        <w:jc w:val="both"/>
        <w:rPr>
          <w:color w:val="000000"/>
          <w:sz w:val="24"/>
          <w:szCs w:val="24"/>
          <w:lang w:val="es-ES" w:eastAsia="es-ES"/>
        </w:rPr>
      </w:pPr>
      <w:r w:rsidRPr="00123E24">
        <w:rPr>
          <w:color w:val="000000"/>
          <w:sz w:val="24"/>
          <w:szCs w:val="24"/>
          <w:lang w:val="es-ES" w:eastAsia="es-ES"/>
        </w:rPr>
        <w:t>Identificación de actores que participan en la actualización del modelo educativo (internos y externos).</w:t>
      </w:r>
    </w:p>
    <w:p w14:paraId="22721381" w14:textId="77777777" w:rsidR="007C5A79" w:rsidRPr="00123E24" w:rsidRDefault="007C5A79" w:rsidP="006730A0">
      <w:pPr>
        <w:numPr>
          <w:ilvl w:val="0"/>
          <w:numId w:val="31"/>
        </w:numPr>
        <w:spacing w:line="360" w:lineRule="auto"/>
        <w:jc w:val="both"/>
        <w:rPr>
          <w:color w:val="000000"/>
          <w:sz w:val="24"/>
          <w:szCs w:val="24"/>
          <w:lang w:val="es-ES" w:eastAsia="es-ES"/>
        </w:rPr>
      </w:pPr>
      <w:r w:rsidRPr="00123E24">
        <w:rPr>
          <w:color w:val="000000"/>
          <w:sz w:val="24"/>
          <w:szCs w:val="24"/>
          <w:lang w:val="es-ES" w:eastAsia="es-ES"/>
        </w:rPr>
        <w:t>Determinación de las fuentes para determinar las exigencias al proceso de formación (informantes claves).</w:t>
      </w:r>
    </w:p>
    <w:p w14:paraId="0D62F5A3" w14:textId="77777777" w:rsidR="007C5A79" w:rsidRPr="00123E24" w:rsidRDefault="007C5A79" w:rsidP="006730A0">
      <w:pPr>
        <w:numPr>
          <w:ilvl w:val="0"/>
          <w:numId w:val="31"/>
        </w:numPr>
        <w:spacing w:line="360" w:lineRule="auto"/>
        <w:jc w:val="both"/>
        <w:rPr>
          <w:color w:val="000000"/>
          <w:sz w:val="24"/>
          <w:szCs w:val="24"/>
          <w:lang w:val="es-ES" w:eastAsia="es-ES"/>
        </w:rPr>
      </w:pPr>
      <w:r w:rsidRPr="00123E24">
        <w:rPr>
          <w:color w:val="000000"/>
          <w:sz w:val="24"/>
          <w:szCs w:val="24"/>
          <w:lang w:val="es-ES" w:eastAsia="es-ES"/>
        </w:rPr>
        <w:t>Elaboración de los instrumentos, indicadores y métodos de procesamiento y evaluación de la información obtenida.</w:t>
      </w:r>
    </w:p>
    <w:p w14:paraId="2876236A" w14:textId="77777777" w:rsidR="007C5A79" w:rsidRPr="00123E24" w:rsidRDefault="007C5A79" w:rsidP="006730A0">
      <w:pPr>
        <w:numPr>
          <w:ilvl w:val="0"/>
          <w:numId w:val="31"/>
        </w:numPr>
        <w:spacing w:line="360" w:lineRule="auto"/>
        <w:jc w:val="both"/>
        <w:rPr>
          <w:color w:val="000000"/>
          <w:sz w:val="24"/>
          <w:szCs w:val="24"/>
          <w:lang w:val="es-ES" w:eastAsia="es-ES"/>
        </w:rPr>
      </w:pPr>
      <w:r w:rsidRPr="00123E24">
        <w:rPr>
          <w:color w:val="000000"/>
          <w:sz w:val="24"/>
          <w:szCs w:val="24"/>
          <w:lang w:val="es-ES" w:eastAsia="es-ES"/>
        </w:rPr>
        <w:t xml:space="preserve">Actualización de los perfiles de competencias a escala macrocurricular. </w:t>
      </w:r>
    </w:p>
    <w:p w14:paraId="573971FF" w14:textId="77777777" w:rsidR="007C5A79" w:rsidRPr="00123E24" w:rsidRDefault="007C5A79" w:rsidP="006730A0">
      <w:pPr>
        <w:spacing w:line="360" w:lineRule="auto"/>
        <w:jc w:val="both"/>
        <w:rPr>
          <w:color w:val="000000"/>
          <w:sz w:val="24"/>
          <w:szCs w:val="24"/>
          <w:lang w:val="es-ES" w:eastAsia="es-ES"/>
        </w:rPr>
      </w:pPr>
    </w:p>
    <w:p w14:paraId="51D73155" w14:textId="166D215C" w:rsidR="007C5A79" w:rsidRPr="00123E24" w:rsidRDefault="007C5A79" w:rsidP="006730A0">
      <w:pPr>
        <w:spacing w:line="360" w:lineRule="auto"/>
        <w:jc w:val="both"/>
        <w:rPr>
          <w:i/>
          <w:iCs/>
          <w:color w:val="000000"/>
          <w:sz w:val="24"/>
          <w:szCs w:val="24"/>
          <w:lang w:val="es-US" w:eastAsia="es-ES"/>
        </w:rPr>
      </w:pPr>
      <w:r w:rsidRPr="00123E24">
        <w:rPr>
          <w:i/>
          <w:iCs/>
          <w:color w:val="000000"/>
          <w:sz w:val="24"/>
          <w:szCs w:val="24"/>
          <w:lang w:val="es-ES_tradnl" w:eastAsia="es-ES"/>
        </w:rPr>
        <w:t>Concreción de lineamientos curriculares del proceso de formación investigativa</w:t>
      </w:r>
      <w:r w:rsidR="00FA2988" w:rsidRPr="00123E24">
        <w:rPr>
          <w:i/>
          <w:iCs/>
          <w:color w:val="000000"/>
          <w:sz w:val="24"/>
          <w:szCs w:val="24"/>
          <w:lang w:val="es-ES_tradnl" w:eastAsia="es-ES"/>
        </w:rPr>
        <w:t xml:space="preserve">. </w:t>
      </w:r>
      <w:r w:rsidR="00FA2988" w:rsidRPr="00123E24">
        <w:rPr>
          <w:color w:val="000000"/>
          <w:sz w:val="24"/>
          <w:szCs w:val="24"/>
          <w:lang w:val="es-ES" w:eastAsia="es-ES"/>
        </w:rPr>
        <w:t>Acciones:</w:t>
      </w:r>
    </w:p>
    <w:p w14:paraId="478C60B8" w14:textId="77777777" w:rsidR="007C5A79" w:rsidRPr="00123E24" w:rsidRDefault="007C5A79" w:rsidP="006730A0">
      <w:pPr>
        <w:numPr>
          <w:ilvl w:val="0"/>
          <w:numId w:val="32"/>
        </w:numPr>
        <w:spacing w:line="360" w:lineRule="auto"/>
        <w:jc w:val="both"/>
        <w:rPr>
          <w:color w:val="000000"/>
          <w:sz w:val="24"/>
          <w:szCs w:val="24"/>
          <w:lang w:val="es-ES" w:eastAsia="es-ES"/>
        </w:rPr>
      </w:pPr>
      <w:r w:rsidRPr="00123E24">
        <w:rPr>
          <w:color w:val="000000"/>
          <w:sz w:val="24"/>
          <w:szCs w:val="24"/>
          <w:lang w:val="es-ES" w:eastAsia="es-ES"/>
        </w:rPr>
        <w:t xml:space="preserve">Actualización de los referentes curriculares (socioprofesionales, epistemológicos y psicopedagógicos). </w:t>
      </w:r>
    </w:p>
    <w:p w14:paraId="6F6760B0" w14:textId="248402B4" w:rsidR="007C5A79" w:rsidRPr="00123E24" w:rsidRDefault="007C5A79" w:rsidP="006730A0">
      <w:pPr>
        <w:spacing w:line="360" w:lineRule="auto"/>
        <w:jc w:val="both"/>
        <w:rPr>
          <w:color w:val="000000"/>
          <w:sz w:val="24"/>
          <w:szCs w:val="24"/>
          <w:lang w:val="es-ES" w:eastAsia="es-ES"/>
        </w:rPr>
      </w:pPr>
      <w:r w:rsidRPr="00123E24">
        <w:rPr>
          <w:color w:val="000000"/>
          <w:sz w:val="24"/>
          <w:szCs w:val="24"/>
          <w:lang w:val="es-ES" w:eastAsia="es-ES"/>
        </w:rPr>
        <w:lastRenderedPageBreak/>
        <w:t xml:space="preserve">Los referentes socioprofesionales permiten desde una mirada prospectiva evaluar tendencias, a partir del estado actual de desarrollo </w:t>
      </w:r>
      <w:r w:rsidR="0093411F" w:rsidRPr="00123E24">
        <w:rPr>
          <w:color w:val="000000"/>
          <w:sz w:val="24"/>
          <w:szCs w:val="24"/>
          <w:lang w:val="es-ES" w:eastAsia="es-ES"/>
        </w:rPr>
        <w:t>e</w:t>
      </w:r>
      <w:r w:rsidRPr="00123E24">
        <w:rPr>
          <w:color w:val="000000"/>
          <w:sz w:val="24"/>
          <w:szCs w:val="24"/>
          <w:lang w:val="es-ES" w:eastAsia="es-ES"/>
        </w:rPr>
        <w:t xml:space="preserve"> integrar la esfera de actuación profesional y aspectos de formación integral del profesional. Lo cual lleva una mirada alienada a las metas país, es decir a las estrategias de desarrollo. </w:t>
      </w:r>
    </w:p>
    <w:p w14:paraId="6BF524B7" w14:textId="66E769B3" w:rsidR="007C5A79" w:rsidRPr="00123E24" w:rsidRDefault="007C5A79" w:rsidP="006730A0">
      <w:pPr>
        <w:spacing w:line="360" w:lineRule="auto"/>
        <w:jc w:val="both"/>
        <w:rPr>
          <w:color w:val="000000"/>
          <w:sz w:val="24"/>
          <w:szCs w:val="24"/>
          <w:lang w:val="es-ES" w:eastAsia="es-ES"/>
        </w:rPr>
      </w:pPr>
      <w:r w:rsidRPr="00123E24">
        <w:rPr>
          <w:color w:val="000000"/>
          <w:sz w:val="24"/>
          <w:szCs w:val="24"/>
          <w:lang w:val="es-ES" w:eastAsia="es-ES"/>
        </w:rPr>
        <w:t xml:space="preserve">Los referentes epistemológicos permiten comprender el proceso de formación investigativa evaluando como el contenido disciplinar (lógica, secuencia y alcance) en cierto trayecto curricular configuran las competencias como resultado de la formación investigativa. </w:t>
      </w:r>
      <w:r w:rsidR="00FA2988" w:rsidRPr="00123E24">
        <w:rPr>
          <w:color w:val="000000"/>
          <w:sz w:val="24"/>
          <w:szCs w:val="24"/>
          <w:lang w:val="es-ES" w:eastAsia="es-ES"/>
        </w:rPr>
        <w:t>Acciones:</w:t>
      </w:r>
    </w:p>
    <w:p w14:paraId="368E6629" w14:textId="77777777" w:rsidR="007C5A79" w:rsidRPr="00123E24" w:rsidRDefault="007C5A79" w:rsidP="006730A0">
      <w:pPr>
        <w:numPr>
          <w:ilvl w:val="0"/>
          <w:numId w:val="32"/>
        </w:numPr>
        <w:spacing w:line="360" w:lineRule="auto"/>
        <w:jc w:val="both"/>
        <w:rPr>
          <w:color w:val="000000"/>
          <w:sz w:val="24"/>
          <w:szCs w:val="24"/>
          <w:lang w:val="es-ES" w:eastAsia="es-ES"/>
        </w:rPr>
      </w:pPr>
      <w:r w:rsidRPr="00123E24">
        <w:rPr>
          <w:color w:val="000000"/>
          <w:sz w:val="24"/>
          <w:szCs w:val="24"/>
          <w:lang w:val="es-ES" w:eastAsia="es-ES"/>
        </w:rPr>
        <w:t>Actualización de los contenidos de las diferentes disciplinas al currículo (temas, unidades didácticas o cursos).</w:t>
      </w:r>
    </w:p>
    <w:p w14:paraId="0FF1F91B" w14:textId="77777777" w:rsidR="007C5A79" w:rsidRPr="00123E24" w:rsidRDefault="007C5A79" w:rsidP="006730A0">
      <w:pPr>
        <w:numPr>
          <w:ilvl w:val="0"/>
          <w:numId w:val="32"/>
        </w:numPr>
        <w:spacing w:line="360" w:lineRule="auto"/>
        <w:jc w:val="both"/>
        <w:rPr>
          <w:color w:val="000000"/>
          <w:sz w:val="24"/>
          <w:szCs w:val="24"/>
          <w:lang w:val="es-ES" w:eastAsia="es-ES"/>
        </w:rPr>
      </w:pPr>
      <w:r w:rsidRPr="00123E24">
        <w:rPr>
          <w:color w:val="000000"/>
          <w:sz w:val="24"/>
          <w:szCs w:val="24"/>
          <w:lang w:val="es-ES" w:eastAsia="es-ES"/>
        </w:rPr>
        <w:t>Actualización del aporte de la asignatura al currículo a escala microcurricular desde una visión interdisciplinar y secuencial (secuencia de formación y desarrollo de la competencia investigativa).</w:t>
      </w:r>
    </w:p>
    <w:p w14:paraId="50EE3BDA" w14:textId="77777777" w:rsidR="007C5A79" w:rsidRPr="00123E24" w:rsidRDefault="007C5A79" w:rsidP="006730A0">
      <w:pPr>
        <w:numPr>
          <w:ilvl w:val="0"/>
          <w:numId w:val="32"/>
        </w:numPr>
        <w:spacing w:line="360" w:lineRule="auto"/>
        <w:jc w:val="both"/>
        <w:rPr>
          <w:color w:val="000000"/>
          <w:sz w:val="24"/>
          <w:szCs w:val="24"/>
          <w:lang w:val="es-ES" w:eastAsia="es-ES"/>
        </w:rPr>
      </w:pPr>
      <w:r w:rsidRPr="00123E24">
        <w:rPr>
          <w:color w:val="000000"/>
          <w:sz w:val="24"/>
          <w:szCs w:val="24"/>
          <w:lang w:val="es-ES" w:eastAsia="es-ES"/>
        </w:rPr>
        <w:t xml:space="preserve">Identificación y reconceptualización de los espacios de formación investigativa (aulas, laboratorios, residencias profesionales, prácticas profesionales, ejercicios de culminación de estudios, …)  </w:t>
      </w:r>
    </w:p>
    <w:p w14:paraId="5E7AF921" w14:textId="77777777" w:rsidR="007C5A79" w:rsidRPr="00123E24" w:rsidRDefault="007C5A79" w:rsidP="006730A0">
      <w:pPr>
        <w:spacing w:line="360" w:lineRule="auto"/>
        <w:jc w:val="both"/>
        <w:rPr>
          <w:color w:val="000000"/>
          <w:sz w:val="24"/>
          <w:szCs w:val="24"/>
          <w:lang w:val="es-ES" w:eastAsia="es-ES"/>
        </w:rPr>
      </w:pPr>
    </w:p>
    <w:p w14:paraId="2EB44626" w14:textId="60725867" w:rsidR="007C5A79" w:rsidRPr="00123E24" w:rsidRDefault="007C5A79" w:rsidP="006730A0">
      <w:pPr>
        <w:spacing w:line="360" w:lineRule="auto"/>
        <w:jc w:val="both"/>
        <w:rPr>
          <w:i/>
          <w:iCs/>
          <w:color w:val="000000"/>
          <w:sz w:val="24"/>
          <w:szCs w:val="24"/>
          <w:lang w:val="es-US" w:eastAsia="es-ES"/>
        </w:rPr>
      </w:pPr>
      <w:r w:rsidRPr="00123E24">
        <w:rPr>
          <w:i/>
          <w:iCs/>
          <w:color w:val="000000"/>
          <w:sz w:val="24"/>
          <w:szCs w:val="24"/>
          <w:lang w:val="es-ES_tradnl" w:eastAsia="es-ES"/>
        </w:rPr>
        <w:t>Enfoque didáctico del proceso de formación investigativa</w:t>
      </w:r>
      <w:r w:rsidR="00FA2988" w:rsidRPr="00123E24">
        <w:rPr>
          <w:i/>
          <w:iCs/>
          <w:color w:val="000000"/>
          <w:sz w:val="24"/>
          <w:szCs w:val="24"/>
          <w:lang w:val="es-ES_tradnl" w:eastAsia="es-ES"/>
        </w:rPr>
        <w:t xml:space="preserve">. </w:t>
      </w:r>
      <w:r w:rsidR="00FA2988" w:rsidRPr="00123E24">
        <w:rPr>
          <w:color w:val="000000"/>
          <w:sz w:val="24"/>
          <w:szCs w:val="24"/>
          <w:lang w:val="es-ES" w:eastAsia="es-ES"/>
        </w:rPr>
        <w:t>Acciones:</w:t>
      </w:r>
    </w:p>
    <w:p w14:paraId="54F3ED81" w14:textId="77777777" w:rsidR="007C5A79" w:rsidRPr="00123E24" w:rsidRDefault="007C5A79" w:rsidP="006730A0">
      <w:pPr>
        <w:numPr>
          <w:ilvl w:val="0"/>
          <w:numId w:val="33"/>
        </w:numPr>
        <w:spacing w:line="360" w:lineRule="auto"/>
        <w:jc w:val="both"/>
        <w:rPr>
          <w:color w:val="000000"/>
          <w:sz w:val="24"/>
          <w:szCs w:val="24"/>
          <w:lang w:val="es-ES" w:eastAsia="es-ES"/>
        </w:rPr>
      </w:pPr>
      <w:r w:rsidRPr="00123E24">
        <w:rPr>
          <w:color w:val="000000"/>
          <w:sz w:val="24"/>
          <w:szCs w:val="24"/>
          <w:lang w:val="es-ES" w:eastAsia="es-ES"/>
        </w:rPr>
        <w:t xml:space="preserve">Diseño de las estrategias instruccionales que favorezcan la investigación. </w:t>
      </w:r>
    </w:p>
    <w:p w14:paraId="2CEB5591" w14:textId="77777777" w:rsidR="007C5A79" w:rsidRPr="00123E24" w:rsidRDefault="007C5A79" w:rsidP="006730A0">
      <w:pPr>
        <w:numPr>
          <w:ilvl w:val="0"/>
          <w:numId w:val="33"/>
        </w:numPr>
        <w:spacing w:line="360" w:lineRule="auto"/>
        <w:jc w:val="both"/>
        <w:rPr>
          <w:color w:val="000000"/>
          <w:sz w:val="24"/>
          <w:szCs w:val="24"/>
          <w:lang w:val="es-ES" w:eastAsia="es-ES"/>
        </w:rPr>
      </w:pPr>
      <w:r w:rsidRPr="00123E24">
        <w:rPr>
          <w:color w:val="000000"/>
          <w:sz w:val="24"/>
          <w:szCs w:val="24"/>
          <w:lang w:val="es-ES" w:eastAsia="es-ES"/>
        </w:rPr>
        <w:t>Jerarquizar tipología de métodos didácticos en la gestión curricular (proyectos, aprendizaje basado en problemas, aprendizaje por investigación, …)</w:t>
      </w:r>
    </w:p>
    <w:p w14:paraId="5B3E5E23" w14:textId="77777777" w:rsidR="007C5A79" w:rsidRPr="00123E24" w:rsidRDefault="007C5A79" w:rsidP="006730A0">
      <w:pPr>
        <w:spacing w:line="360" w:lineRule="auto"/>
        <w:jc w:val="both"/>
        <w:rPr>
          <w:color w:val="000000"/>
          <w:sz w:val="24"/>
          <w:szCs w:val="24"/>
          <w:lang w:val="es-ES" w:eastAsia="es-ES"/>
        </w:rPr>
      </w:pPr>
    </w:p>
    <w:p w14:paraId="7D5DC164" w14:textId="32B1830F" w:rsidR="0072345C" w:rsidRPr="00123E24" w:rsidRDefault="0072345C" w:rsidP="00123E24">
      <w:pPr>
        <w:spacing w:line="360" w:lineRule="auto"/>
        <w:jc w:val="center"/>
        <w:rPr>
          <w:b/>
          <w:bCs/>
          <w:color w:val="000000"/>
          <w:sz w:val="24"/>
          <w:szCs w:val="24"/>
          <w:lang w:val="es-ES" w:eastAsia="es-ES"/>
        </w:rPr>
      </w:pPr>
      <w:r w:rsidRPr="00123E24">
        <w:rPr>
          <w:b/>
          <w:bCs/>
          <w:color w:val="000000"/>
          <w:sz w:val="24"/>
          <w:szCs w:val="24"/>
          <w:lang w:val="es-ES" w:eastAsia="es-ES"/>
        </w:rPr>
        <w:t>Conclusiones</w:t>
      </w:r>
    </w:p>
    <w:p w14:paraId="75F92BC3" w14:textId="0F63A92C" w:rsidR="005C7733" w:rsidRPr="00123E24" w:rsidRDefault="005C7733" w:rsidP="006730A0">
      <w:pPr>
        <w:spacing w:line="360" w:lineRule="auto"/>
        <w:jc w:val="both"/>
        <w:rPr>
          <w:color w:val="000000"/>
          <w:sz w:val="24"/>
          <w:szCs w:val="24"/>
          <w:lang w:val="es-US" w:eastAsia="es-ES"/>
        </w:rPr>
      </w:pPr>
      <w:r w:rsidRPr="00123E24">
        <w:rPr>
          <w:color w:val="000000"/>
          <w:sz w:val="24"/>
          <w:szCs w:val="24"/>
          <w:lang w:val="es-ES" w:eastAsia="es-ES"/>
        </w:rPr>
        <w:t xml:space="preserve">La gestión del proceso de formación investigativas en la educación superior en sinergia con los </w:t>
      </w:r>
      <w:proofErr w:type="spellStart"/>
      <w:r w:rsidRPr="00123E24">
        <w:rPr>
          <w:color w:val="000000"/>
          <w:sz w:val="24"/>
          <w:szCs w:val="24"/>
          <w:lang w:val="es-US" w:eastAsia="es-ES"/>
        </w:rPr>
        <w:t>stakeholders</w:t>
      </w:r>
      <w:proofErr w:type="spellEnd"/>
      <w:r w:rsidRPr="00123E24">
        <w:rPr>
          <w:color w:val="000000"/>
          <w:sz w:val="24"/>
          <w:szCs w:val="24"/>
          <w:lang w:val="es-US" w:eastAsia="es-ES"/>
        </w:rPr>
        <w:t xml:space="preserve"> (organizaciones empresariales productivas y de servicios, </w:t>
      </w:r>
      <w:proofErr w:type="spellStart"/>
      <w:r w:rsidRPr="00123E24">
        <w:rPr>
          <w:color w:val="000000"/>
          <w:sz w:val="24"/>
          <w:szCs w:val="24"/>
          <w:lang w:val="es-US" w:eastAsia="es-ES"/>
        </w:rPr>
        <w:t>ONG´s</w:t>
      </w:r>
      <w:proofErr w:type="spellEnd"/>
      <w:r w:rsidRPr="00123E24">
        <w:rPr>
          <w:color w:val="000000"/>
          <w:sz w:val="24"/>
          <w:szCs w:val="24"/>
          <w:lang w:val="es-US" w:eastAsia="es-ES"/>
        </w:rPr>
        <w:t xml:space="preserve">, de los sectores públicos y privados) posibilitan con un enfoque bidireccional garantizar dos aspectos básicos: la actualización de las demandas formativas y la cooperación para trabajar en la formación investigativa desde el continuo, universidad – empresa. </w:t>
      </w:r>
    </w:p>
    <w:p w14:paraId="4170FE7D" w14:textId="26DFE24B" w:rsidR="005C7733" w:rsidRPr="00123E24" w:rsidRDefault="005C7733" w:rsidP="006730A0">
      <w:pPr>
        <w:spacing w:line="360" w:lineRule="auto"/>
        <w:jc w:val="both"/>
        <w:rPr>
          <w:color w:val="000000"/>
          <w:sz w:val="24"/>
          <w:szCs w:val="24"/>
          <w:lang w:val="es-US" w:eastAsia="es-ES"/>
        </w:rPr>
      </w:pPr>
      <w:r w:rsidRPr="00123E24">
        <w:rPr>
          <w:color w:val="000000"/>
          <w:sz w:val="24"/>
          <w:szCs w:val="24"/>
          <w:lang w:val="es-US" w:eastAsia="es-ES"/>
        </w:rPr>
        <w:t xml:space="preserve">La ruta metodológica debe gestionarse desde una visión participativa del claustro (directivos y docentes) y cooperada (universidad – red de actores), pudiendo ser parte de los programas de desarrollo de las IES. </w:t>
      </w:r>
    </w:p>
    <w:p w14:paraId="6FFF6779" w14:textId="6FF0EED3" w:rsidR="005C7733" w:rsidRPr="00123E24" w:rsidRDefault="0004554C" w:rsidP="006730A0">
      <w:pPr>
        <w:pStyle w:val="TextCarCar"/>
        <w:spacing w:line="360" w:lineRule="auto"/>
        <w:ind w:firstLine="0"/>
        <w:rPr>
          <w:color w:val="000000"/>
          <w:sz w:val="24"/>
          <w:szCs w:val="24"/>
          <w:lang w:val="es-CL"/>
        </w:rPr>
      </w:pPr>
      <w:r w:rsidRPr="00123E24">
        <w:rPr>
          <w:color w:val="000000"/>
          <w:sz w:val="24"/>
          <w:szCs w:val="24"/>
          <w:lang w:val="es-CL"/>
        </w:rPr>
        <w:t xml:space="preserve">De cara a las actuales y futuras demandas </w:t>
      </w:r>
      <w:r w:rsidR="005C7733" w:rsidRPr="00123E24">
        <w:rPr>
          <w:color w:val="000000"/>
          <w:sz w:val="24"/>
          <w:szCs w:val="24"/>
          <w:lang w:val="es-CL"/>
        </w:rPr>
        <w:t>en el proceso de formación investigativa de los futuros egresados universitarios</w:t>
      </w:r>
      <w:r w:rsidRPr="00123E24">
        <w:rPr>
          <w:color w:val="000000"/>
          <w:sz w:val="24"/>
          <w:szCs w:val="24"/>
          <w:lang w:val="es-CL"/>
        </w:rPr>
        <w:t xml:space="preserve"> se debe seguir fortaleciendo la institucionalidad de los procesos de vinculación, en el cual el diálogo sistémico, bidireccional y multinivel de la universidad </w:t>
      </w:r>
      <w:r w:rsidR="005C7733" w:rsidRPr="00123E24">
        <w:rPr>
          <w:color w:val="000000"/>
          <w:sz w:val="24"/>
          <w:szCs w:val="24"/>
          <w:lang w:val="es-CL"/>
        </w:rPr>
        <w:t xml:space="preserve">es fundamental. </w:t>
      </w:r>
    </w:p>
    <w:p w14:paraId="6C320D5E" w14:textId="77777777" w:rsidR="005C7733" w:rsidRPr="00123E24" w:rsidRDefault="005C7733" w:rsidP="006730A0">
      <w:pPr>
        <w:pStyle w:val="TextCarCar"/>
        <w:spacing w:line="360" w:lineRule="auto"/>
        <w:rPr>
          <w:color w:val="000000"/>
          <w:sz w:val="24"/>
          <w:szCs w:val="24"/>
          <w:lang w:val="es-CL"/>
        </w:rPr>
      </w:pPr>
    </w:p>
    <w:p w14:paraId="66B84B2A" w14:textId="51BCA4F5" w:rsidR="00AA2D11" w:rsidRPr="00123E24" w:rsidRDefault="0072345C" w:rsidP="006730A0">
      <w:pPr>
        <w:pStyle w:val="TextCarCar"/>
        <w:spacing w:line="360" w:lineRule="auto"/>
        <w:rPr>
          <w:b/>
          <w:bCs/>
          <w:color w:val="000000"/>
          <w:sz w:val="24"/>
          <w:szCs w:val="24"/>
          <w:lang w:val="es-CL"/>
        </w:rPr>
      </w:pPr>
      <w:proofErr w:type="spellStart"/>
      <w:r w:rsidRPr="00123E24">
        <w:rPr>
          <w:b/>
          <w:bCs/>
          <w:sz w:val="24"/>
          <w:szCs w:val="24"/>
        </w:rPr>
        <w:lastRenderedPageBreak/>
        <w:t>Referencias</w:t>
      </w:r>
      <w:proofErr w:type="spellEnd"/>
    </w:p>
    <w:p w14:paraId="5A044525" w14:textId="77777777" w:rsidR="002264F5" w:rsidRPr="00123E24" w:rsidRDefault="002264F5" w:rsidP="006730A0">
      <w:pPr>
        <w:pStyle w:val="TextCarCar"/>
        <w:numPr>
          <w:ilvl w:val="0"/>
          <w:numId w:val="35"/>
        </w:numPr>
        <w:spacing w:line="360" w:lineRule="auto"/>
        <w:rPr>
          <w:color w:val="000000"/>
          <w:sz w:val="24"/>
          <w:szCs w:val="24"/>
          <w:lang w:val="es-US"/>
        </w:rPr>
      </w:pPr>
      <w:r w:rsidRPr="00123E24">
        <w:rPr>
          <w:color w:val="000000"/>
          <w:sz w:val="24"/>
          <w:szCs w:val="24"/>
          <w:lang w:val="es-US"/>
        </w:rPr>
        <w:t>Ayala, E. T., &amp; Barrera J. M. (2018). Competencias investigativas en docentes universitarios. El caso del departamento de arquitectura de la Universidad Francisco de Paula Santander. </w:t>
      </w:r>
      <w:r w:rsidRPr="00123E24">
        <w:rPr>
          <w:i/>
          <w:iCs/>
          <w:color w:val="000000"/>
          <w:sz w:val="24"/>
          <w:szCs w:val="24"/>
          <w:lang w:val="es-US"/>
        </w:rPr>
        <w:t>Revista Perspectivas</w:t>
      </w:r>
      <w:r w:rsidRPr="00123E24">
        <w:rPr>
          <w:color w:val="000000"/>
          <w:sz w:val="24"/>
          <w:szCs w:val="24"/>
          <w:lang w:val="es-US"/>
        </w:rPr>
        <w:t>, </w:t>
      </w:r>
      <w:r w:rsidRPr="00123E24">
        <w:rPr>
          <w:i/>
          <w:iCs/>
          <w:color w:val="000000"/>
          <w:sz w:val="24"/>
          <w:szCs w:val="24"/>
          <w:lang w:val="es-US"/>
        </w:rPr>
        <w:t>3</w:t>
      </w:r>
      <w:r w:rsidRPr="00123E24">
        <w:rPr>
          <w:color w:val="000000"/>
          <w:sz w:val="24"/>
          <w:szCs w:val="24"/>
          <w:lang w:val="es-US"/>
        </w:rPr>
        <w:t>(1), 71-84.</w:t>
      </w:r>
    </w:p>
    <w:p w14:paraId="70DD7D79" w14:textId="77777777" w:rsidR="002264F5" w:rsidRPr="00123E24" w:rsidRDefault="002264F5" w:rsidP="006730A0">
      <w:pPr>
        <w:pStyle w:val="TextCarCar"/>
        <w:numPr>
          <w:ilvl w:val="0"/>
          <w:numId w:val="35"/>
        </w:numPr>
        <w:spacing w:line="360" w:lineRule="auto"/>
        <w:rPr>
          <w:color w:val="000000"/>
          <w:sz w:val="24"/>
          <w:szCs w:val="24"/>
          <w:lang w:val="es-US"/>
        </w:rPr>
      </w:pPr>
      <w:proofErr w:type="spellStart"/>
      <w:r w:rsidRPr="00123E24">
        <w:rPr>
          <w:color w:val="000000"/>
          <w:sz w:val="24"/>
          <w:szCs w:val="24"/>
          <w:lang w:val="es-US"/>
        </w:rPr>
        <w:t>Coppa</w:t>
      </w:r>
      <w:proofErr w:type="spellEnd"/>
      <w:r w:rsidRPr="00123E24">
        <w:rPr>
          <w:color w:val="000000"/>
          <w:sz w:val="24"/>
          <w:szCs w:val="24"/>
          <w:lang w:val="es-US"/>
        </w:rPr>
        <w:t>, C. R. (2013). La vinculación con el medio social como categoría para la evaluación y acreditación universitaria [en línea], Anuario de la Facultad de Ciencias Económicas del Rosario, 9</w:t>
      </w:r>
    </w:p>
    <w:p w14:paraId="7C236D69" w14:textId="77777777" w:rsidR="002264F5" w:rsidRPr="00123E24" w:rsidRDefault="002264F5" w:rsidP="006730A0">
      <w:pPr>
        <w:pStyle w:val="TextCarCar"/>
        <w:numPr>
          <w:ilvl w:val="0"/>
          <w:numId w:val="35"/>
        </w:numPr>
        <w:spacing w:line="360" w:lineRule="auto"/>
        <w:rPr>
          <w:color w:val="000000"/>
          <w:sz w:val="24"/>
          <w:szCs w:val="24"/>
          <w:lang w:val="es-US"/>
        </w:rPr>
      </w:pPr>
      <w:r w:rsidRPr="00123E24">
        <w:rPr>
          <w:color w:val="000000"/>
          <w:sz w:val="24"/>
          <w:szCs w:val="24"/>
          <w:lang w:val="es-US"/>
        </w:rPr>
        <w:t>de Becerra, G. M. A. (2012). La formación investigativa: su pertinencia en pregrado. </w:t>
      </w:r>
      <w:r w:rsidRPr="00123E24">
        <w:rPr>
          <w:i/>
          <w:iCs/>
          <w:color w:val="000000"/>
          <w:sz w:val="24"/>
          <w:szCs w:val="24"/>
          <w:lang w:val="es-US"/>
        </w:rPr>
        <w:t>Revista Virtual Universidad Católica del Norte</w:t>
      </w:r>
      <w:r w:rsidRPr="00123E24">
        <w:rPr>
          <w:color w:val="000000"/>
          <w:sz w:val="24"/>
          <w:szCs w:val="24"/>
          <w:lang w:val="es-US"/>
        </w:rPr>
        <w:t>, (35), 367-379.</w:t>
      </w:r>
    </w:p>
    <w:p w14:paraId="762948E8" w14:textId="77777777" w:rsidR="002264F5" w:rsidRPr="00123E24" w:rsidRDefault="002264F5" w:rsidP="006730A0">
      <w:pPr>
        <w:pStyle w:val="TextCarCar"/>
        <w:numPr>
          <w:ilvl w:val="0"/>
          <w:numId w:val="35"/>
        </w:numPr>
        <w:spacing w:line="360" w:lineRule="auto"/>
        <w:rPr>
          <w:color w:val="000000"/>
          <w:sz w:val="24"/>
          <w:szCs w:val="24"/>
          <w:lang w:val="es-US"/>
        </w:rPr>
      </w:pPr>
      <w:proofErr w:type="spellStart"/>
      <w:r w:rsidRPr="00123E24">
        <w:rPr>
          <w:color w:val="000000"/>
          <w:sz w:val="24"/>
          <w:szCs w:val="24"/>
          <w:lang w:val="es-US"/>
        </w:rPr>
        <w:t>Drăghicescu</w:t>
      </w:r>
      <w:proofErr w:type="spellEnd"/>
      <w:r w:rsidRPr="00123E24">
        <w:rPr>
          <w:color w:val="000000"/>
          <w:sz w:val="24"/>
          <w:szCs w:val="24"/>
          <w:lang w:val="es-US"/>
        </w:rPr>
        <w:t xml:space="preserve">, L. M., </w:t>
      </w:r>
      <w:proofErr w:type="spellStart"/>
      <w:r w:rsidRPr="00123E24">
        <w:rPr>
          <w:color w:val="000000"/>
          <w:sz w:val="24"/>
          <w:szCs w:val="24"/>
          <w:lang w:val="es-US"/>
        </w:rPr>
        <w:t>Petrescu</w:t>
      </w:r>
      <w:proofErr w:type="spellEnd"/>
      <w:r w:rsidRPr="00123E24">
        <w:rPr>
          <w:color w:val="000000"/>
          <w:sz w:val="24"/>
          <w:szCs w:val="24"/>
          <w:lang w:val="es-US"/>
        </w:rPr>
        <w:t xml:space="preserve">, A. M., </w:t>
      </w:r>
      <w:proofErr w:type="spellStart"/>
      <w:r w:rsidRPr="00123E24">
        <w:rPr>
          <w:color w:val="000000"/>
          <w:sz w:val="24"/>
          <w:szCs w:val="24"/>
          <w:lang w:val="es-US"/>
        </w:rPr>
        <w:t>Cristea</w:t>
      </w:r>
      <w:proofErr w:type="spellEnd"/>
      <w:r w:rsidRPr="00123E24">
        <w:rPr>
          <w:color w:val="000000"/>
          <w:sz w:val="24"/>
          <w:szCs w:val="24"/>
          <w:lang w:val="es-US"/>
        </w:rPr>
        <w:t xml:space="preserve">, G. C., </w:t>
      </w:r>
      <w:proofErr w:type="spellStart"/>
      <w:r w:rsidRPr="00123E24">
        <w:rPr>
          <w:color w:val="000000"/>
          <w:sz w:val="24"/>
          <w:szCs w:val="24"/>
          <w:lang w:val="es-US"/>
        </w:rPr>
        <w:t>Gorghiu</w:t>
      </w:r>
      <w:proofErr w:type="spellEnd"/>
      <w:r w:rsidRPr="00123E24">
        <w:rPr>
          <w:color w:val="000000"/>
          <w:sz w:val="24"/>
          <w:szCs w:val="24"/>
          <w:lang w:val="es-US"/>
        </w:rPr>
        <w:t xml:space="preserve">, L. M., &amp; </w:t>
      </w:r>
      <w:proofErr w:type="spellStart"/>
      <w:r w:rsidRPr="00123E24">
        <w:rPr>
          <w:color w:val="000000"/>
          <w:sz w:val="24"/>
          <w:szCs w:val="24"/>
          <w:lang w:val="es-US"/>
        </w:rPr>
        <w:t>Gorghiu</w:t>
      </w:r>
      <w:proofErr w:type="spellEnd"/>
      <w:r w:rsidRPr="00123E24">
        <w:rPr>
          <w:color w:val="000000"/>
          <w:sz w:val="24"/>
          <w:szCs w:val="24"/>
          <w:lang w:val="es-US"/>
        </w:rPr>
        <w:t xml:space="preserve">, G. (2014). </w:t>
      </w:r>
      <w:r w:rsidRPr="00123E24">
        <w:rPr>
          <w:color w:val="000000"/>
          <w:sz w:val="24"/>
          <w:szCs w:val="24"/>
        </w:rPr>
        <w:t>Application of problem-based learning strategy in science lessons–Examples of good practice. </w:t>
      </w:r>
      <w:proofErr w:type="spellStart"/>
      <w:r w:rsidRPr="00123E24">
        <w:rPr>
          <w:i/>
          <w:iCs/>
          <w:color w:val="000000"/>
          <w:sz w:val="24"/>
          <w:szCs w:val="24"/>
          <w:lang w:val="es-US"/>
        </w:rPr>
        <w:t>Procedia</w:t>
      </w:r>
      <w:proofErr w:type="spellEnd"/>
      <w:r w:rsidRPr="00123E24">
        <w:rPr>
          <w:i/>
          <w:iCs/>
          <w:color w:val="000000"/>
          <w:sz w:val="24"/>
          <w:szCs w:val="24"/>
          <w:lang w:val="es-US"/>
        </w:rPr>
        <w:t xml:space="preserve">-Social and </w:t>
      </w:r>
      <w:proofErr w:type="spellStart"/>
      <w:r w:rsidRPr="00123E24">
        <w:rPr>
          <w:i/>
          <w:iCs/>
          <w:color w:val="000000"/>
          <w:sz w:val="24"/>
          <w:szCs w:val="24"/>
          <w:lang w:val="es-US"/>
        </w:rPr>
        <w:t>Behavioral</w:t>
      </w:r>
      <w:proofErr w:type="spellEnd"/>
      <w:r w:rsidRPr="00123E24">
        <w:rPr>
          <w:i/>
          <w:iCs/>
          <w:color w:val="000000"/>
          <w:sz w:val="24"/>
          <w:szCs w:val="24"/>
          <w:lang w:val="es-US"/>
        </w:rPr>
        <w:t xml:space="preserve"> </w:t>
      </w:r>
      <w:proofErr w:type="spellStart"/>
      <w:r w:rsidRPr="00123E24">
        <w:rPr>
          <w:i/>
          <w:iCs/>
          <w:color w:val="000000"/>
          <w:sz w:val="24"/>
          <w:szCs w:val="24"/>
          <w:lang w:val="es-US"/>
        </w:rPr>
        <w:t>Sciences</w:t>
      </w:r>
      <w:proofErr w:type="spellEnd"/>
      <w:r w:rsidRPr="00123E24">
        <w:rPr>
          <w:color w:val="000000"/>
          <w:sz w:val="24"/>
          <w:szCs w:val="24"/>
          <w:lang w:val="es-US"/>
        </w:rPr>
        <w:t>, </w:t>
      </w:r>
      <w:r w:rsidRPr="00123E24">
        <w:rPr>
          <w:i/>
          <w:iCs/>
          <w:color w:val="000000"/>
          <w:sz w:val="24"/>
          <w:szCs w:val="24"/>
          <w:lang w:val="es-US"/>
        </w:rPr>
        <w:t>149</w:t>
      </w:r>
      <w:r w:rsidRPr="00123E24">
        <w:rPr>
          <w:color w:val="000000"/>
          <w:sz w:val="24"/>
          <w:szCs w:val="24"/>
          <w:lang w:val="es-US"/>
        </w:rPr>
        <w:t>, 297-301.</w:t>
      </w:r>
    </w:p>
    <w:p w14:paraId="28DEDE8C" w14:textId="77777777" w:rsidR="002264F5" w:rsidRPr="00123E24" w:rsidRDefault="002264F5" w:rsidP="006730A0">
      <w:pPr>
        <w:pStyle w:val="TextCarCar"/>
        <w:numPr>
          <w:ilvl w:val="0"/>
          <w:numId w:val="35"/>
        </w:numPr>
        <w:spacing w:line="360" w:lineRule="auto"/>
        <w:rPr>
          <w:color w:val="000000"/>
          <w:sz w:val="24"/>
          <w:szCs w:val="24"/>
          <w:lang w:val="es-US"/>
        </w:rPr>
      </w:pPr>
      <w:r w:rsidRPr="00123E24">
        <w:rPr>
          <w:color w:val="000000"/>
          <w:sz w:val="24"/>
          <w:szCs w:val="24"/>
          <w:lang w:val="es-US"/>
        </w:rPr>
        <w:t>Espinoza Freire, E. E. (2020). La investigación formativa. Una reflexión teórica. </w:t>
      </w:r>
      <w:r w:rsidRPr="00123E24">
        <w:rPr>
          <w:i/>
          <w:iCs/>
          <w:color w:val="000000"/>
          <w:sz w:val="24"/>
          <w:szCs w:val="24"/>
          <w:lang w:val="es-US"/>
        </w:rPr>
        <w:t>Conrado</w:t>
      </w:r>
      <w:r w:rsidRPr="00123E24">
        <w:rPr>
          <w:color w:val="000000"/>
          <w:sz w:val="24"/>
          <w:szCs w:val="24"/>
          <w:lang w:val="es-US"/>
        </w:rPr>
        <w:t>, </w:t>
      </w:r>
      <w:r w:rsidRPr="00123E24">
        <w:rPr>
          <w:i/>
          <w:iCs/>
          <w:color w:val="000000"/>
          <w:sz w:val="24"/>
          <w:szCs w:val="24"/>
          <w:lang w:val="es-US"/>
        </w:rPr>
        <w:t>16</w:t>
      </w:r>
      <w:r w:rsidRPr="00123E24">
        <w:rPr>
          <w:color w:val="000000"/>
          <w:sz w:val="24"/>
          <w:szCs w:val="24"/>
          <w:lang w:val="es-US"/>
        </w:rPr>
        <w:t>(74), 45-53.</w:t>
      </w:r>
    </w:p>
    <w:p w14:paraId="090C7ADA" w14:textId="77777777" w:rsidR="002264F5" w:rsidRPr="00123E24" w:rsidRDefault="002264F5" w:rsidP="006730A0">
      <w:pPr>
        <w:pStyle w:val="TextCarCar"/>
        <w:numPr>
          <w:ilvl w:val="0"/>
          <w:numId w:val="35"/>
        </w:numPr>
        <w:spacing w:line="360" w:lineRule="auto"/>
        <w:rPr>
          <w:color w:val="000000"/>
          <w:sz w:val="24"/>
          <w:szCs w:val="24"/>
          <w:lang w:val="es-US"/>
        </w:rPr>
      </w:pPr>
      <w:r w:rsidRPr="00123E24">
        <w:rPr>
          <w:color w:val="000000"/>
          <w:sz w:val="24"/>
          <w:szCs w:val="24"/>
          <w:lang w:val="es-US"/>
        </w:rPr>
        <w:t>Gómez, G. A. Á., Fernández, A. J. R., &amp; Armijos, C. E. G. (2018). Pertinencia de la educación superior un reto para la universidad latinoamericana actual. </w:t>
      </w:r>
      <w:r w:rsidRPr="00123E24">
        <w:rPr>
          <w:i/>
          <w:iCs/>
          <w:color w:val="000000"/>
          <w:sz w:val="24"/>
          <w:szCs w:val="24"/>
          <w:lang w:val="es-US"/>
        </w:rPr>
        <w:t>Dilemas Contemporáneos: Educación, Política y Valores</w:t>
      </w:r>
      <w:r w:rsidRPr="00123E24">
        <w:rPr>
          <w:color w:val="000000"/>
          <w:sz w:val="24"/>
          <w:szCs w:val="24"/>
          <w:lang w:val="es-US"/>
        </w:rPr>
        <w:t>.</w:t>
      </w:r>
    </w:p>
    <w:p w14:paraId="3ED1B671" w14:textId="77777777" w:rsidR="002264F5" w:rsidRPr="00123E24" w:rsidRDefault="002264F5" w:rsidP="006730A0">
      <w:pPr>
        <w:pStyle w:val="TextCarCar"/>
        <w:numPr>
          <w:ilvl w:val="0"/>
          <w:numId w:val="35"/>
        </w:numPr>
        <w:spacing w:line="360" w:lineRule="auto"/>
        <w:rPr>
          <w:color w:val="000000"/>
          <w:sz w:val="24"/>
          <w:szCs w:val="24"/>
        </w:rPr>
      </w:pPr>
      <w:r w:rsidRPr="00123E24">
        <w:rPr>
          <w:color w:val="000000"/>
          <w:sz w:val="24"/>
          <w:szCs w:val="24"/>
        </w:rPr>
        <w:t>Koh, K., &amp; Chapman, O. (2019). Problem-Based Learning, Assessment Literacy, Mathematics Knowledge, and Competencies in Teacher Education. </w:t>
      </w:r>
      <w:r w:rsidRPr="00123E24">
        <w:rPr>
          <w:i/>
          <w:iCs/>
          <w:color w:val="000000"/>
          <w:sz w:val="24"/>
          <w:szCs w:val="24"/>
        </w:rPr>
        <w:t>Papers on Postsecondary Learning and Teaching</w:t>
      </w:r>
      <w:r w:rsidRPr="00123E24">
        <w:rPr>
          <w:color w:val="000000"/>
          <w:sz w:val="24"/>
          <w:szCs w:val="24"/>
        </w:rPr>
        <w:t>, </w:t>
      </w:r>
      <w:r w:rsidRPr="00123E24">
        <w:rPr>
          <w:i/>
          <w:iCs/>
          <w:color w:val="000000"/>
          <w:sz w:val="24"/>
          <w:szCs w:val="24"/>
        </w:rPr>
        <w:t>3</w:t>
      </w:r>
      <w:r w:rsidRPr="00123E24">
        <w:rPr>
          <w:color w:val="000000"/>
          <w:sz w:val="24"/>
          <w:szCs w:val="24"/>
        </w:rPr>
        <w:t>, 74-80.</w:t>
      </w:r>
    </w:p>
    <w:p w14:paraId="0E50DE34" w14:textId="77777777" w:rsidR="002264F5" w:rsidRPr="00123E24" w:rsidRDefault="002264F5" w:rsidP="006730A0">
      <w:pPr>
        <w:pStyle w:val="TextCarCar"/>
        <w:numPr>
          <w:ilvl w:val="0"/>
          <w:numId w:val="35"/>
        </w:numPr>
        <w:spacing w:line="360" w:lineRule="auto"/>
        <w:rPr>
          <w:color w:val="000000"/>
          <w:sz w:val="24"/>
          <w:szCs w:val="24"/>
          <w:lang w:val="es-US"/>
        </w:rPr>
      </w:pPr>
      <w:r w:rsidRPr="00123E24">
        <w:rPr>
          <w:color w:val="000000"/>
          <w:sz w:val="24"/>
          <w:szCs w:val="24"/>
          <w:lang w:val="es-US"/>
        </w:rPr>
        <w:t>León VE, &amp; Herrera JL. (2010). Una visión de la profesionalización como categoría de las ciencias de la educación. Rev. Atlante. Cuadernos de Educación y Desarrollo 2(13):1-12.</w:t>
      </w:r>
    </w:p>
    <w:p w14:paraId="4F691980" w14:textId="77777777" w:rsidR="002264F5" w:rsidRPr="00123E24" w:rsidRDefault="002264F5" w:rsidP="006730A0">
      <w:pPr>
        <w:pStyle w:val="TextCarCar"/>
        <w:numPr>
          <w:ilvl w:val="0"/>
          <w:numId w:val="35"/>
        </w:numPr>
        <w:spacing w:line="360" w:lineRule="auto"/>
        <w:rPr>
          <w:color w:val="000000"/>
          <w:sz w:val="24"/>
          <w:szCs w:val="24"/>
          <w:lang w:val="es-US"/>
        </w:rPr>
      </w:pPr>
      <w:r w:rsidRPr="00123E24">
        <w:rPr>
          <w:color w:val="000000"/>
          <w:sz w:val="24"/>
          <w:szCs w:val="24"/>
          <w:lang w:val="es-US"/>
        </w:rPr>
        <w:t>León, V. E., &amp; Rojas, A. A. (2022). La profesionalización en el contexto de las ciencias médicas en Cuba: una mirada desde los artículos científicos publicados por autores cubanos. </w:t>
      </w:r>
      <w:r w:rsidRPr="00123E24">
        <w:rPr>
          <w:i/>
          <w:iCs/>
          <w:color w:val="000000"/>
          <w:sz w:val="24"/>
          <w:szCs w:val="24"/>
          <w:lang w:val="es-US"/>
        </w:rPr>
        <w:t>Revista de Ciencias Médicas de Pinar del Río</w:t>
      </w:r>
      <w:r w:rsidRPr="00123E24">
        <w:rPr>
          <w:color w:val="000000"/>
          <w:sz w:val="24"/>
          <w:szCs w:val="24"/>
          <w:lang w:val="es-US"/>
        </w:rPr>
        <w:t>, </w:t>
      </w:r>
      <w:r w:rsidRPr="00123E24">
        <w:rPr>
          <w:i/>
          <w:iCs/>
          <w:color w:val="000000"/>
          <w:sz w:val="24"/>
          <w:szCs w:val="24"/>
          <w:lang w:val="es-US"/>
        </w:rPr>
        <w:t>26</w:t>
      </w:r>
      <w:r w:rsidRPr="00123E24">
        <w:rPr>
          <w:color w:val="000000"/>
          <w:sz w:val="24"/>
          <w:szCs w:val="24"/>
          <w:lang w:val="es-US"/>
        </w:rPr>
        <w:t>(3).</w:t>
      </w:r>
    </w:p>
    <w:p w14:paraId="0E042E93" w14:textId="77777777" w:rsidR="002264F5" w:rsidRPr="00123E24" w:rsidRDefault="002264F5" w:rsidP="006730A0">
      <w:pPr>
        <w:pStyle w:val="TextCarCar"/>
        <w:numPr>
          <w:ilvl w:val="0"/>
          <w:numId w:val="35"/>
        </w:numPr>
        <w:spacing w:line="360" w:lineRule="auto"/>
        <w:rPr>
          <w:color w:val="000000"/>
          <w:sz w:val="24"/>
          <w:szCs w:val="24"/>
          <w:lang w:val="es-US"/>
        </w:rPr>
      </w:pPr>
      <w:r w:rsidRPr="00123E24">
        <w:rPr>
          <w:color w:val="000000"/>
          <w:sz w:val="24"/>
          <w:szCs w:val="24"/>
          <w:lang w:val="es-US"/>
        </w:rPr>
        <w:t xml:space="preserve">Leyva Vázquez, M. Y., Estupiñán Ricardo, J., Coles </w:t>
      </w:r>
      <w:proofErr w:type="spellStart"/>
      <w:r w:rsidRPr="00123E24">
        <w:rPr>
          <w:color w:val="000000"/>
          <w:sz w:val="24"/>
          <w:szCs w:val="24"/>
          <w:lang w:val="es-US"/>
        </w:rPr>
        <w:t>Gaglay</w:t>
      </w:r>
      <w:proofErr w:type="spellEnd"/>
      <w:r w:rsidRPr="00123E24">
        <w:rPr>
          <w:color w:val="000000"/>
          <w:sz w:val="24"/>
          <w:szCs w:val="24"/>
          <w:lang w:val="es-US"/>
        </w:rPr>
        <w:t>, W. S., &amp; Bajaña Bustamante, L. J. (2021). Investigación científica. Pertinencia en la educación superior del siglo XXI. </w:t>
      </w:r>
      <w:r w:rsidRPr="00123E24">
        <w:rPr>
          <w:i/>
          <w:iCs/>
          <w:color w:val="000000"/>
          <w:sz w:val="24"/>
          <w:szCs w:val="24"/>
          <w:lang w:val="es-US"/>
        </w:rPr>
        <w:t>Conrado</w:t>
      </w:r>
      <w:r w:rsidRPr="00123E24">
        <w:rPr>
          <w:color w:val="000000"/>
          <w:sz w:val="24"/>
          <w:szCs w:val="24"/>
          <w:lang w:val="es-US"/>
        </w:rPr>
        <w:t>, </w:t>
      </w:r>
      <w:r w:rsidRPr="00123E24">
        <w:rPr>
          <w:i/>
          <w:iCs/>
          <w:color w:val="000000"/>
          <w:sz w:val="24"/>
          <w:szCs w:val="24"/>
          <w:lang w:val="es-US"/>
        </w:rPr>
        <w:t>17</w:t>
      </w:r>
      <w:r w:rsidRPr="00123E24">
        <w:rPr>
          <w:color w:val="000000"/>
          <w:sz w:val="24"/>
          <w:szCs w:val="24"/>
          <w:lang w:val="es-US"/>
        </w:rPr>
        <w:t>(82), 130-135.</w:t>
      </w:r>
    </w:p>
    <w:p w14:paraId="517B8688" w14:textId="77777777" w:rsidR="002264F5" w:rsidRPr="00123E24" w:rsidRDefault="002264F5" w:rsidP="006730A0">
      <w:pPr>
        <w:pStyle w:val="TextCarCar"/>
        <w:numPr>
          <w:ilvl w:val="0"/>
          <w:numId w:val="35"/>
        </w:numPr>
        <w:spacing w:line="360" w:lineRule="auto"/>
        <w:rPr>
          <w:color w:val="000000"/>
          <w:sz w:val="24"/>
          <w:szCs w:val="24"/>
          <w:lang w:val="es-US"/>
        </w:rPr>
      </w:pPr>
      <w:r w:rsidRPr="00123E24">
        <w:rPr>
          <w:color w:val="000000"/>
          <w:sz w:val="24"/>
          <w:szCs w:val="24"/>
          <w:lang w:val="es-US"/>
        </w:rPr>
        <w:t>López-de Parra, L., Polanco-Perdomo, V., &amp; Correa-Cruz, L. (2017). Mirada a las investigaciones sobre formación investigativa en la universidad latinoamericana: estado del arte 2010 a 2017. </w:t>
      </w:r>
      <w:r w:rsidRPr="00123E24">
        <w:rPr>
          <w:i/>
          <w:iCs/>
          <w:color w:val="000000"/>
          <w:sz w:val="24"/>
          <w:szCs w:val="24"/>
          <w:lang w:val="es-US"/>
        </w:rPr>
        <w:t>Revista de Investigación, Desarrollo e Innovación</w:t>
      </w:r>
      <w:r w:rsidRPr="00123E24">
        <w:rPr>
          <w:color w:val="000000"/>
          <w:sz w:val="24"/>
          <w:szCs w:val="24"/>
          <w:lang w:val="es-US"/>
        </w:rPr>
        <w:t>, </w:t>
      </w:r>
      <w:r w:rsidRPr="00123E24">
        <w:rPr>
          <w:i/>
          <w:iCs/>
          <w:color w:val="000000"/>
          <w:sz w:val="24"/>
          <w:szCs w:val="24"/>
          <w:lang w:val="es-US"/>
        </w:rPr>
        <w:t>8</w:t>
      </w:r>
      <w:r w:rsidRPr="00123E24">
        <w:rPr>
          <w:color w:val="000000"/>
          <w:sz w:val="24"/>
          <w:szCs w:val="24"/>
          <w:lang w:val="es-US"/>
        </w:rPr>
        <w:t>(1), 77-95.</w:t>
      </w:r>
    </w:p>
    <w:p w14:paraId="0AE4F40A" w14:textId="3E322C4A" w:rsidR="002264F5" w:rsidRPr="00123E24" w:rsidRDefault="002264F5" w:rsidP="006730A0">
      <w:pPr>
        <w:pStyle w:val="TextCarCar"/>
        <w:numPr>
          <w:ilvl w:val="0"/>
          <w:numId w:val="35"/>
        </w:numPr>
        <w:spacing w:line="360" w:lineRule="auto"/>
        <w:rPr>
          <w:color w:val="000000"/>
          <w:sz w:val="24"/>
          <w:szCs w:val="24"/>
          <w:lang w:val="es-US"/>
        </w:rPr>
      </w:pPr>
      <w:r w:rsidRPr="00123E24">
        <w:rPr>
          <w:color w:val="000000"/>
          <w:sz w:val="24"/>
          <w:szCs w:val="24"/>
          <w:lang w:val="es-US"/>
        </w:rPr>
        <w:t>Morales-Gómez, G., Reza-Suárez, L., Galindo-Mosquera, S., &amp; Rizzo-Bajaña, P. (2019). ¿Qué significa “fundamentos filosóficos” de un modelo educativo de calidad? </w:t>
      </w:r>
      <w:r w:rsidRPr="00123E24">
        <w:rPr>
          <w:i/>
          <w:iCs/>
          <w:color w:val="000000"/>
          <w:sz w:val="24"/>
          <w:szCs w:val="24"/>
          <w:lang w:val="es-US"/>
        </w:rPr>
        <w:t>Revista Ciencia UNEMI</w:t>
      </w:r>
      <w:r w:rsidRPr="00123E24">
        <w:rPr>
          <w:color w:val="000000"/>
          <w:sz w:val="24"/>
          <w:szCs w:val="24"/>
          <w:lang w:val="es-US"/>
        </w:rPr>
        <w:t>, </w:t>
      </w:r>
      <w:r w:rsidRPr="00123E24">
        <w:rPr>
          <w:i/>
          <w:iCs/>
          <w:color w:val="000000"/>
          <w:sz w:val="24"/>
          <w:szCs w:val="24"/>
          <w:lang w:val="es-US"/>
        </w:rPr>
        <w:t>12</w:t>
      </w:r>
      <w:r w:rsidRPr="00123E24">
        <w:rPr>
          <w:color w:val="000000"/>
          <w:sz w:val="24"/>
          <w:szCs w:val="24"/>
          <w:lang w:val="es-US"/>
        </w:rPr>
        <w:t>(31), 116-127.</w:t>
      </w:r>
    </w:p>
    <w:p w14:paraId="0C72D4F0" w14:textId="77777777" w:rsidR="002264F5" w:rsidRPr="00123E24" w:rsidRDefault="002264F5" w:rsidP="006730A0">
      <w:pPr>
        <w:pStyle w:val="TextCarCar"/>
        <w:numPr>
          <w:ilvl w:val="0"/>
          <w:numId w:val="35"/>
        </w:numPr>
        <w:spacing w:line="360" w:lineRule="auto"/>
        <w:rPr>
          <w:color w:val="000000"/>
          <w:sz w:val="24"/>
          <w:szCs w:val="24"/>
          <w:lang w:val="es-US"/>
        </w:rPr>
      </w:pPr>
      <w:r w:rsidRPr="00123E24">
        <w:rPr>
          <w:color w:val="000000"/>
          <w:sz w:val="24"/>
          <w:szCs w:val="24"/>
          <w:lang w:val="es-US"/>
        </w:rPr>
        <w:lastRenderedPageBreak/>
        <w:t>Music, J., &amp; Venegas, J. (2020). Vinculación con el medio: ampliando la mirada. </w:t>
      </w:r>
      <w:proofErr w:type="spellStart"/>
      <w:r w:rsidRPr="00123E24">
        <w:rPr>
          <w:i/>
          <w:iCs/>
          <w:color w:val="000000"/>
          <w:sz w:val="24"/>
          <w:szCs w:val="24"/>
          <w:lang w:val="es-US"/>
        </w:rPr>
        <w:t>Aequalis</w:t>
      </w:r>
      <w:proofErr w:type="spellEnd"/>
      <w:r w:rsidRPr="00123E24">
        <w:rPr>
          <w:i/>
          <w:iCs/>
          <w:color w:val="000000"/>
          <w:sz w:val="24"/>
          <w:szCs w:val="24"/>
          <w:lang w:val="es-US"/>
        </w:rPr>
        <w:t>, Foro de Educación Superior, Santiago de Chile</w:t>
      </w:r>
      <w:r w:rsidRPr="00123E24">
        <w:rPr>
          <w:color w:val="000000"/>
          <w:sz w:val="24"/>
          <w:szCs w:val="24"/>
          <w:lang w:val="es-US"/>
        </w:rPr>
        <w:t>.</w:t>
      </w:r>
    </w:p>
    <w:p w14:paraId="2C5FC298" w14:textId="77777777" w:rsidR="002264F5" w:rsidRPr="00123E24" w:rsidRDefault="002264F5" w:rsidP="006730A0">
      <w:pPr>
        <w:pStyle w:val="TextCarCar"/>
        <w:numPr>
          <w:ilvl w:val="0"/>
          <w:numId w:val="35"/>
        </w:numPr>
        <w:spacing w:line="360" w:lineRule="auto"/>
        <w:rPr>
          <w:color w:val="000000"/>
          <w:sz w:val="24"/>
          <w:szCs w:val="24"/>
          <w:lang w:val="es-US"/>
        </w:rPr>
      </w:pPr>
      <w:proofErr w:type="spellStart"/>
      <w:r w:rsidRPr="00123E24">
        <w:rPr>
          <w:color w:val="000000"/>
          <w:sz w:val="24"/>
          <w:szCs w:val="24"/>
          <w:lang w:val="es-US"/>
        </w:rPr>
        <w:t>Polaino</w:t>
      </w:r>
      <w:proofErr w:type="spellEnd"/>
      <w:r w:rsidRPr="00123E24">
        <w:rPr>
          <w:color w:val="000000"/>
          <w:sz w:val="24"/>
          <w:szCs w:val="24"/>
          <w:lang w:val="es-US"/>
        </w:rPr>
        <w:t>, C. J., Romillo, A. D. J., &amp; Muñoz, J. F. (2020). Modelo educativo-pedagógico integrado de la Universidad de Otavalo, Ecuador. </w:t>
      </w:r>
      <w:r w:rsidRPr="00123E24">
        <w:rPr>
          <w:i/>
          <w:iCs/>
          <w:color w:val="000000"/>
          <w:sz w:val="24"/>
          <w:szCs w:val="24"/>
          <w:lang w:val="es-US"/>
        </w:rPr>
        <w:t>Formación universitaria</w:t>
      </w:r>
      <w:r w:rsidRPr="00123E24">
        <w:rPr>
          <w:color w:val="000000"/>
          <w:sz w:val="24"/>
          <w:szCs w:val="24"/>
          <w:lang w:val="es-US"/>
        </w:rPr>
        <w:t>, </w:t>
      </w:r>
      <w:r w:rsidRPr="00123E24">
        <w:rPr>
          <w:i/>
          <w:iCs/>
          <w:color w:val="000000"/>
          <w:sz w:val="24"/>
          <w:szCs w:val="24"/>
          <w:lang w:val="es-US"/>
        </w:rPr>
        <w:t>13</w:t>
      </w:r>
      <w:r w:rsidRPr="00123E24">
        <w:rPr>
          <w:color w:val="000000"/>
          <w:sz w:val="24"/>
          <w:szCs w:val="24"/>
          <w:lang w:val="es-US"/>
        </w:rPr>
        <w:t>(5), 115-128.</w:t>
      </w:r>
    </w:p>
    <w:p w14:paraId="70B91F07" w14:textId="77777777" w:rsidR="002264F5" w:rsidRPr="00123E24" w:rsidRDefault="002264F5" w:rsidP="006730A0">
      <w:pPr>
        <w:pStyle w:val="TextCarCar"/>
        <w:numPr>
          <w:ilvl w:val="0"/>
          <w:numId w:val="35"/>
        </w:numPr>
        <w:spacing w:line="360" w:lineRule="auto"/>
        <w:rPr>
          <w:color w:val="000000"/>
          <w:sz w:val="24"/>
          <w:szCs w:val="24"/>
          <w:lang w:val="es-US"/>
        </w:rPr>
      </w:pPr>
      <w:r w:rsidRPr="00123E24">
        <w:rPr>
          <w:color w:val="000000"/>
          <w:sz w:val="24"/>
          <w:szCs w:val="24"/>
          <w:lang w:val="es-US"/>
        </w:rPr>
        <w:t>Reiban, R. E. (2018). Las competencias investigativas del docente universitario. </w:t>
      </w:r>
      <w:r w:rsidRPr="00123E24">
        <w:rPr>
          <w:i/>
          <w:iCs/>
          <w:color w:val="000000"/>
          <w:sz w:val="24"/>
          <w:szCs w:val="24"/>
          <w:lang w:val="es-US"/>
        </w:rPr>
        <w:t>Revista Universidad y Sociedad</w:t>
      </w:r>
      <w:r w:rsidRPr="00123E24">
        <w:rPr>
          <w:color w:val="000000"/>
          <w:sz w:val="24"/>
          <w:szCs w:val="24"/>
          <w:lang w:val="es-US"/>
        </w:rPr>
        <w:t>, </w:t>
      </w:r>
      <w:r w:rsidRPr="00123E24">
        <w:rPr>
          <w:i/>
          <w:iCs/>
          <w:color w:val="000000"/>
          <w:sz w:val="24"/>
          <w:szCs w:val="24"/>
          <w:lang w:val="es-US"/>
        </w:rPr>
        <w:t>10</w:t>
      </w:r>
      <w:r w:rsidRPr="00123E24">
        <w:rPr>
          <w:color w:val="000000"/>
          <w:sz w:val="24"/>
          <w:szCs w:val="24"/>
          <w:lang w:val="es-US"/>
        </w:rPr>
        <w:t>(4), 75-84.</w:t>
      </w:r>
    </w:p>
    <w:p w14:paraId="08E83945" w14:textId="77777777" w:rsidR="002264F5" w:rsidRPr="00123E24" w:rsidRDefault="002264F5" w:rsidP="006730A0">
      <w:pPr>
        <w:pStyle w:val="TextCarCar"/>
        <w:numPr>
          <w:ilvl w:val="0"/>
          <w:numId w:val="35"/>
        </w:numPr>
        <w:spacing w:line="360" w:lineRule="auto"/>
        <w:rPr>
          <w:color w:val="000000"/>
          <w:sz w:val="24"/>
          <w:szCs w:val="24"/>
          <w:lang w:val="es-US"/>
        </w:rPr>
      </w:pPr>
      <w:r w:rsidRPr="00123E24">
        <w:rPr>
          <w:color w:val="000000"/>
          <w:sz w:val="24"/>
          <w:szCs w:val="24"/>
          <w:lang w:val="es-US"/>
        </w:rPr>
        <w:t>Ricardo, J. E., Coloma, M. A. V., Maldonado, A. T. C., &amp; Hurtado, L. A. C. (2018). Reflexiones acerca de la pertinencia e impacto de la educación superior en Ecuador desde su perspectiva actual. </w:t>
      </w:r>
      <w:r w:rsidRPr="00123E24">
        <w:rPr>
          <w:i/>
          <w:iCs/>
          <w:color w:val="000000"/>
          <w:sz w:val="24"/>
          <w:szCs w:val="24"/>
          <w:lang w:val="es-US"/>
        </w:rPr>
        <w:t xml:space="preserve">Open </w:t>
      </w:r>
      <w:proofErr w:type="spellStart"/>
      <w:r w:rsidRPr="00123E24">
        <w:rPr>
          <w:i/>
          <w:iCs/>
          <w:color w:val="000000"/>
          <w:sz w:val="24"/>
          <w:szCs w:val="24"/>
          <w:lang w:val="es-US"/>
        </w:rPr>
        <w:t>Journal</w:t>
      </w:r>
      <w:proofErr w:type="spellEnd"/>
      <w:r w:rsidRPr="00123E24">
        <w:rPr>
          <w:i/>
          <w:iCs/>
          <w:color w:val="000000"/>
          <w:sz w:val="24"/>
          <w:szCs w:val="24"/>
          <w:lang w:val="es-US"/>
        </w:rPr>
        <w:t xml:space="preserve"> </w:t>
      </w:r>
      <w:proofErr w:type="spellStart"/>
      <w:r w:rsidRPr="00123E24">
        <w:rPr>
          <w:i/>
          <w:iCs/>
          <w:color w:val="000000"/>
          <w:sz w:val="24"/>
          <w:szCs w:val="24"/>
          <w:lang w:val="es-US"/>
        </w:rPr>
        <w:t>Systems</w:t>
      </w:r>
      <w:proofErr w:type="spellEnd"/>
      <w:r w:rsidRPr="00123E24">
        <w:rPr>
          <w:i/>
          <w:iCs/>
          <w:color w:val="000000"/>
          <w:sz w:val="24"/>
          <w:szCs w:val="24"/>
          <w:lang w:val="es-US"/>
        </w:rPr>
        <w:t xml:space="preserve"> en Revista: REVISTA DE ENTRENAMIENTO</w:t>
      </w:r>
      <w:r w:rsidRPr="00123E24">
        <w:rPr>
          <w:color w:val="000000"/>
          <w:sz w:val="24"/>
          <w:szCs w:val="24"/>
          <w:lang w:val="es-US"/>
        </w:rPr>
        <w:t>, </w:t>
      </w:r>
      <w:r w:rsidRPr="00123E24">
        <w:rPr>
          <w:i/>
          <w:iCs/>
          <w:color w:val="000000"/>
          <w:sz w:val="24"/>
          <w:szCs w:val="24"/>
          <w:lang w:val="es-US"/>
        </w:rPr>
        <w:t>3</w:t>
      </w:r>
      <w:r w:rsidRPr="00123E24">
        <w:rPr>
          <w:color w:val="000000"/>
          <w:sz w:val="24"/>
          <w:szCs w:val="24"/>
          <w:lang w:val="es-US"/>
        </w:rPr>
        <w:t>(3), 81-92</w:t>
      </w:r>
    </w:p>
    <w:p w14:paraId="4FE9CAEE" w14:textId="77777777" w:rsidR="002264F5" w:rsidRPr="00123E24" w:rsidRDefault="002264F5" w:rsidP="006730A0">
      <w:pPr>
        <w:pStyle w:val="TextCarCar"/>
        <w:numPr>
          <w:ilvl w:val="0"/>
          <w:numId w:val="35"/>
        </w:numPr>
        <w:spacing w:line="360" w:lineRule="auto"/>
        <w:rPr>
          <w:color w:val="000000"/>
          <w:sz w:val="24"/>
          <w:szCs w:val="24"/>
          <w:lang w:val="es-US"/>
        </w:rPr>
      </w:pPr>
      <w:r w:rsidRPr="00123E24">
        <w:rPr>
          <w:color w:val="000000"/>
          <w:sz w:val="24"/>
          <w:szCs w:val="24"/>
          <w:lang w:val="es-US"/>
        </w:rPr>
        <w:t>Saldías, C. C., Sánchez, G. S., &amp; Aguilar, C. R. (2020). Innovación social en la docencia universitaria: una estrategia de interacción academia y sociedad. </w:t>
      </w:r>
      <w:r w:rsidRPr="00123E24">
        <w:rPr>
          <w:i/>
          <w:iCs/>
          <w:color w:val="000000"/>
          <w:sz w:val="24"/>
          <w:szCs w:val="24"/>
          <w:lang w:val="es-US"/>
        </w:rPr>
        <w:t>Revista Venezolana de Gerencia: RVG</w:t>
      </w:r>
      <w:r w:rsidRPr="00123E24">
        <w:rPr>
          <w:color w:val="000000"/>
          <w:sz w:val="24"/>
          <w:szCs w:val="24"/>
          <w:lang w:val="es-US"/>
        </w:rPr>
        <w:t>, </w:t>
      </w:r>
      <w:r w:rsidRPr="00123E24">
        <w:rPr>
          <w:i/>
          <w:iCs/>
          <w:color w:val="000000"/>
          <w:sz w:val="24"/>
          <w:szCs w:val="24"/>
          <w:lang w:val="es-US"/>
        </w:rPr>
        <w:t>25</w:t>
      </w:r>
      <w:r w:rsidRPr="00123E24">
        <w:rPr>
          <w:color w:val="000000"/>
          <w:sz w:val="24"/>
          <w:szCs w:val="24"/>
          <w:lang w:val="es-US"/>
        </w:rPr>
        <w:t>(4), 347-363.</w:t>
      </w:r>
    </w:p>
    <w:p w14:paraId="1C8FF705" w14:textId="77777777" w:rsidR="002264F5" w:rsidRPr="006730A0" w:rsidRDefault="002264F5" w:rsidP="006730A0">
      <w:pPr>
        <w:pStyle w:val="TextCarCar"/>
        <w:spacing w:line="360" w:lineRule="auto"/>
        <w:rPr>
          <w:rFonts w:asciiTheme="minorHAnsi" w:hAnsiTheme="minorHAnsi" w:cstheme="minorHAnsi"/>
          <w:color w:val="000000"/>
          <w:sz w:val="24"/>
          <w:szCs w:val="24"/>
          <w:lang w:val="es-CL"/>
        </w:rPr>
      </w:pPr>
    </w:p>
    <w:sectPr w:rsidR="002264F5" w:rsidRPr="006730A0" w:rsidSect="00123E24">
      <w:headerReference w:type="default" r:id="rId9"/>
      <w:footerReference w:type="default" r:id="rId10"/>
      <w:pgSz w:w="12240" w:h="15840" w:code="1"/>
      <w:pgMar w:top="709" w:right="1418" w:bottom="567" w:left="1418" w:header="284" w:footer="261" w:gutter="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A9C43" w14:textId="77777777" w:rsidR="00A07E0A" w:rsidRDefault="00A07E0A" w:rsidP="00F260D0">
      <w:r>
        <w:separator/>
      </w:r>
    </w:p>
  </w:endnote>
  <w:endnote w:type="continuationSeparator" w:id="0">
    <w:p w14:paraId="239CC43F" w14:textId="77777777" w:rsidR="00A07E0A" w:rsidRDefault="00A07E0A" w:rsidP="00F2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073B2" w14:textId="1B056CAF" w:rsidR="00123E24" w:rsidRPr="00123E24" w:rsidRDefault="00123E24" w:rsidP="00123E24">
    <w:pPr>
      <w:pStyle w:val="Piedepgina"/>
      <w:jc w:val="center"/>
      <w:rPr>
        <w:sz w:val="22"/>
        <w:szCs w:val="22"/>
      </w:rPr>
    </w:pPr>
    <w:r w:rsidRPr="00123E24">
      <w:rPr>
        <w:rFonts w:ascii="Calibri" w:hAnsi="Calibri" w:cs="Calibri"/>
        <w:b/>
        <w:sz w:val="22"/>
        <w:szCs w:val="22"/>
      </w:rPr>
      <w:t xml:space="preserve">Vol. 11, </w:t>
    </w:r>
    <w:proofErr w:type="spellStart"/>
    <w:r w:rsidRPr="00123E24">
      <w:rPr>
        <w:rFonts w:ascii="Calibri" w:hAnsi="Calibri" w:cs="Calibri"/>
        <w:b/>
        <w:sz w:val="22"/>
        <w:szCs w:val="22"/>
      </w:rPr>
      <w:t>Núm</w:t>
    </w:r>
    <w:proofErr w:type="spellEnd"/>
    <w:r w:rsidRPr="00123E24">
      <w:rPr>
        <w:rFonts w:ascii="Calibri" w:hAnsi="Calibri" w:cs="Calibri"/>
        <w:b/>
        <w:sz w:val="22"/>
        <w:szCs w:val="22"/>
      </w:rPr>
      <w:t>. 21                  Enero – Junio 2024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06C98" w14:textId="77777777" w:rsidR="00A07E0A" w:rsidRDefault="00A07E0A" w:rsidP="00F260D0">
      <w:r>
        <w:separator/>
      </w:r>
    </w:p>
  </w:footnote>
  <w:footnote w:type="continuationSeparator" w:id="0">
    <w:p w14:paraId="444C1CDA" w14:textId="77777777" w:rsidR="00A07E0A" w:rsidRDefault="00A07E0A" w:rsidP="00F26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E2D39" w14:textId="24636296" w:rsidR="002702DE" w:rsidRPr="00123E24" w:rsidRDefault="00123E24" w:rsidP="00F260D0">
    <w:pPr>
      <w:ind w:right="360"/>
      <w:jc w:val="center"/>
      <w:rPr>
        <w:rFonts w:asciiTheme="minorHAnsi" w:hAnsiTheme="minorHAnsi" w:cstheme="minorHAnsi"/>
        <w:sz w:val="22"/>
        <w:szCs w:val="22"/>
        <w:lang w:val="es-CL"/>
      </w:rPr>
    </w:pPr>
    <w:proofErr w:type="spellStart"/>
    <w:r w:rsidRPr="00123E24">
      <w:rPr>
        <w:rFonts w:asciiTheme="minorHAnsi" w:hAnsiTheme="minorHAnsi" w:cstheme="minorHAnsi"/>
        <w:b/>
        <w:i/>
        <w:sz w:val="22"/>
        <w:szCs w:val="22"/>
      </w:rPr>
      <w:t>Revista</w:t>
    </w:r>
    <w:proofErr w:type="spellEnd"/>
    <w:r w:rsidRPr="00123E24">
      <w:rPr>
        <w:rFonts w:asciiTheme="minorHAnsi" w:hAnsiTheme="minorHAnsi" w:cstheme="minorHAnsi"/>
        <w:b/>
        <w:i/>
        <w:sz w:val="22"/>
        <w:szCs w:val="22"/>
      </w:rPr>
      <w:t xml:space="preserve"> </w:t>
    </w:r>
    <w:proofErr w:type="spellStart"/>
    <w:r w:rsidRPr="00123E24">
      <w:rPr>
        <w:rFonts w:asciiTheme="minorHAnsi" w:hAnsiTheme="minorHAnsi" w:cstheme="minorHAnsi"/>
        <w:b/>
        <w:i/>
        <w:sz w:val="22"/>
        <w:szCs w:val="22"/>
      </w:rPr>
      <w:t>Electrónica</w:t>
    </w:r>
    <w:proofErr w:type="spellEnd"/>
    <w:r w:rsidRPr="00123E24">
      <w:rPr>
        <w:rFonts w:asciiTheme="minorHAnsi" w:hAnsiTheme="minorHAnsi" w:cstheme="minorHAnsi"/>
        <w:b/>
        <w:i/>
        <w:sz w:val="22"/>
        <w:szCs w:val="22"/>
      </w:rPr>
      <w:t xml:space="preserve"> del Desarrollo Humano para la </w:t>
    </w:r>
    <w:proofErr w:type="spellStart"/>
    <w:r w:rsidRPr="00123E24">
      <w:rPr>
        <w:rFonts w:asciiTheme="minorHAnsi" w:hAnsiTheme="minorHAnsi" w:cstheme="minorHAnsi"/>
        <w:b/>
        <w:i/>
        <w:sz w:val="22"/>
        <w:szCs w:val="22"/>
      </w:rPr>
      <w:t>Innovación</w:t>
    </w:r>
    <w:proofErr w:type="spellEnd"/>
    <w:r w:rsidRPr="00123E24">
      <w:rPr>
        <w:rFonts w:asciiTheme="minorHAnsi" w:hAnsiTheme="minorHAnsi" w:cstheme="minorHAnsi"/>
        <w:b/>
        <w:i/>
        <w:sz w:val="22"/>
        <w:szCs w:val="22"/>
      </w:rPr>
      <w:t xml:space="preserve">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572FE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166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1212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A016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6D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1A2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209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6C4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5289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3E4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FFFFFFFB"/>
    <w:multiLevelType w:val="multilevel"/>
    <w:tmpl w:val="5830826A"/>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1" w15:restartNumberingAfterBreak="0">
    <w:nsid w:val="0D39070F"/>
    <w:multiLevelType w:val="hybridMultilevel"/>
    <w:tmpl w:val="D96216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2" w15:restartNumberingAfterBreak="0">
    <w:nsid w:val="14C211DF"/>
    <w:multiLevelType w:val="hybridMultilevel"/>
    <w:tmpl w:val="9712F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AC95315"/>
    <w:multiLevelType w:val="hybridMultilevel"/>
    <w:tmpl w:val="47B41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61406DC"/>
    <w:multiLevelType w:val="hybridMultilevel"/>
    <w:tmpl w:val="3DDA2632"/>
    <w:lvl w:ilvl="0" w:tplc="854090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7D240A"/>
    <w:multiLevelType w:val="hybridMultilevel"/>
    <w:tmpl w:val="EC8A1468"/>
    <w:lvl w:ilvl="0" w:tplc="1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C980BCF"/>
    <w:multiLevelType w:val="hybridMultilevel"/>
    <w:tmpl w:val="8152A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41A81886"/>
    <w:multiLevelType w:val="hybridMultilevel"/>
    <w:tmpl w:val="1DD28B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CC32AEA"/>
    <w:multiLevelType w:val="hybridMultilevel"/>
    <w:tmpl w:val="25B633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C7E13EE"/>
    <w:multiLevelType w:val="hybridMultilevel"/>
    <w:tmpl w:val="5FBADA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0240C81"/>
    <w:multiLevelType w:val="hybridMultilevel"/>
    <w:tmpl w:val="E398C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4" w15:restartNumberingAfterBreak="0">
    <w:nsid w:val="73D90F6E"/>
    <w:multiLevelType w:val="hybridMultilevel"/>
    <w:tmpl w:val="66761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5D4274"/>
    <w:multiLevelType w:val="hybridMultilevel"/>
    <w:tmpl w:val="28AE0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58841870">
    <w:abstractNumId w:val="10"/>
  </w:num>
  <w:num w:numId="2" w16cid:durableId="1822774224">
    <w:abstractNumId w:val="18"/>
  </w:num>
  <w:num w:numId="3" w16cid:durableId="996492325">
    <w:abstractNumId w:val="14"/>
  </w:num>
  <w:num w:numId="4" w16cid:durableId="412897129">
    <w:abstractNumId w:val="23"/>
  </w:num>
  <w:num w:numId="5" w16cid:durableId="1496535118">
    <w:abstractNumId w:val="15"/>
  </w:num>
  <w:num w:numId="6" w16cid:durableId="461651656">
    <w:abstractNumId w:val="10"/>
    <w:lvlOverride w:ilvl="0">
      <w:startOverride w:val="500"/>
    </w:lvlOverride>
  </w:num>
  <w:num w:numId="7" w16cid:durableId="542401970">
    <w:abstractNumId w:val="8"/>
  </w:num>
  <w:num w:numId="8" w16cid:durableId="531656127">
    <w:abstractNumId w:val="10"/>
    <w:lvlOverride w:ilvl="0">
      <w:startOverride w:val="1"/>
    </w:lvlOverride>
    <w:lvlOverride w:ilvl="1">
      <w:startOverride w:val="1"/>
    </w:lvlOverride>
    <w:lvlOverride w:ilvl="2">
      <w:startOverride w:val="3"/>
    </w:lvlOverride>
  </w:num>
  <w:num w:numId="9" w16cid:durableId="417214992">
    <w:abstractNumId w:val="3"/>
  </w:num>
  <w:num w:numId="10" w16cid:durableId="62144892">
    <w:abstractNumId w:val="2"/>
  </w:num>
  <w:num w:numId="11" w16cid:durableId="1856339728">
    <w:abstractNumId w:val="1"/>
  </w:num>
  <w:num w:numId="12" w16cid:durableId="1079911581">
    <w:abstractNumId w:val="0"/>
  </w:num>
  <w:num w:numId="13" w16cid:durableId="760947936">
    <w:abstractNumId w:val="9"/>
  </w:num>
  <w:num w:numId="14" w16cid:durableId="1277103416">
    <w:abstractNumId w:val="7"/>
  </w:num>
  <w:num w:numId="15" w16cid:durableId="1479614056">
    <w:abstractNumId w:val="6"/>
  </w:num>
  <w:num w:numId="16" w16cid:durableId="705181724">
    <w:abstractNumId w:val="5"/>
  </w:num>
  <w:num w:numId="17" w16cid:durableId="1994798992">
    <w:abstractNumId w:val="4"/>
  </w:num>
  <w:num w:numId="18" w16cid:durableId="1314944228">
    <w:abstractNumId w:val="10"/>
  </w:num>
  <w:num w:numId="19" w16cid:durableId="287472510">
    <w:abstractNumId w:val="10"/>
  </w:num>
  <w:num w:numId="20" w16cid:durableId="1605307329">
    <w:abstractNumId w:val="10"/>
  </w:num>
  <w:num w:numId="21" w16cid:durableId="265621031">
    <w:abstractNumId w:val="10"/>
  </w:num>
  <w:num w:numId="22" w16cid:durableId="258954616">
    <w:abstractNumId w:val="10"/>
  </w:num>
  <w:num w:numId="23" w16cid:durableId="639724784">
    <w:abstractNumId w:val="10"/>
  </w:num>
  <w:num w:numId="24" w16cid:durableId="636380529">
    <w:abstractNumId w:val="21"/>
  </w:num>
  <w:num w:numId="25" w16cid:durableId="1914509688">
    <w:abstractNumId w:val="20"/>
  </w:num>
  <w:num w:numId="26" w16cid:durableId="1431658500">
    <w:abstractNumId w:val="11"/>
  </w:num>
  <w:num w:numId="27" w16cid:durableId="1355382353">
    <w:abstractNumId w:val="11"/>
  </w:num>
  <w:num w:numId="28" w16cid:durableId="1396708786">
    <w:abstractNumId w:val="16"/>
  </w:num>
  <w:num w:numId="29" w16cid:durableId="1418089768">
    <w:abstractNumId w:val="12"/>
  </w:num>
  <w:num w:numId="30" w16cid:durableId="575677099">
    <w:abstractNumId w:val="17"/>
  </w:num>
  <w:num w:numId="31" w16cid:durableId="2040159934">
    <w:abstractNumId w:val="25"/>
  </w:num>
  <w:num w:numId="32" w16cid:durableId="665792478">
    <w:abstractNumId w:val="13"/>
  </w:num>
  <w:num w:numId="33" w16cid:durableId="984627609">
    <w:abstractNumId w:val="24"/>
  </w:num>
  <w:num w:numId="34" w16cid:durableId="8723486">
    <w:abstractNumId w:val="22"/>
  </w:num>
  <w:num w:numId="35" w16cid:durableId="7237973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D0"/>
    <w:rsid w:val="00005620"/>
    <w:rsid w:val="00005E0E"/>
    <w:rsid w:val="00011D6B"/>
    <w:rsid w:val="000142FD"/>
    <w:rsid w:val="000165C0"/>
    <w:rsid w:val="00025A48"/>
    <w:rsid w:val="000276D0"/>
    <w:rsid w:val="00043F21"/>
    <w:rsid w:val="0004554C"/>
    <w:rsid w:val="00052BB7"/>
    <w:rsid w:val="000554E8"/>
    <w:rsid w:val="000575C5"/>
    <w:rsid w:val="00065DCE"/>
    <w:rsid w:val="000769D7"/>
    <w:rsid w:val="00084116"/>
    <w:rsid w:val="00091C04"/>
    <w:rsid w:val="00097FD7"/>
    <w:rsid w:val="000A4A87"/>
    <w:rsid w:val="000A6556"/>
    <w:rsid w:val="000B0AD7"/>
    <w:rsid w:val="000B5EC9"/>
    <w:rsid w:val="000C3B51"/>
    <w:rsid w:val="000E4AE3"/>
    <w:rsid w:val="000F020C"/>
    <w:rsid w:val="000F0567"/>
    <w:rsid w:val="000F3F71"/>
    <w:rsid w:val="00102992"/>
    <w:rsid w:val="001121D8"/>
    <w:rsid w:val="00117D49"/>
    <w:rsid w:val="0012223F"/>
    <w:rsid w:val="00122915"/>
    <w:rsid w:val="00123E24"/>
    <w:rsid w:val="00125A9E"/>
    <w:rsid w:val="0012751E"/>
    <w:rsid w:val="001400C8"/>
    <w:rsid w:val="00150DCD"/>
    <w:rsid w:val="001551CC"/>
    <w:rsid w:val="0016187A"/>
    <w:rsid w:val="001714E5"/>
    <w:rsid w:val="0017180F"/>
    <w:rsid w:val="001738B0"/>
    <w:rsid w:val="00184378"/>
    <w:rsid w:val="001867F8"/>
    <w:rsid w:val="001903E4"/>
    <w:rsid w:val="00190A62"/>
    <w:rsid w:val="00195868"/>
    <w:rsid w:val="001A17A3"/>
    <w:rsid w:val="001A5555"/>
    <w:rsid w:val="001A7A4B"/>
    <w:rsid w:val="001B0FD2"/>
    <w:rsid w:val="001B7BB6"/>
    <w:rsid w:val="001C0F2C"/>
    <w:rsid w:val="001C31B6"/>
    <w:rsid w:val="001E5A4F"/>
    <w:rsid w:val="001F0E99"/>
    <w:rsid w:val="001F60FC"/>
    <w:rsid w:val="002033AB"/>
    <w:rsid w:val="00211E66"/>
    <w:rsid w:val="002263F8"/>
    <w:rsid w:val="002264F5"/>
    <w:rsid w:val="00226B44"/>
    <w:rsid w:val="00241980"/>
    <w:rsid w:val="002643FA"/>
    <w:rsid w:val="00264AD2"/>
    <w:rsid w:val="002702DE"/>
    <w:rsid w:val="00273CF0"/>
    <w:rsid w:val="00274D3F"/>
    <w:rsid w:val="0027532C"/>
    <w:rsid w:val="00280701"/>
    <w:rsid w:val="002C09C9"/>
    <w:rsid w:val="002E31B0"/>
    <w:rsid w:val="002F7C61"/>
    <w:rsid w:val="00300550"/>
    <w:rsid w:val="00302099"/>
    <w:rsid w:val="00302930"/>
    <w:rsid w:val="003029AA"/>
    <w:rsid w:val="0030351B"/>
    <w:rsid w:val="00314460"/>
    <w:rsid w:val="003178E7"/>
    <w:rsid w:val="003207CF"/>
    <w:rsid w:val="003215B3"/>
    <w:rsid w:val="003246DB"/>
    <w:rsid w:val="003279BE"/>
    <w:rsid w:val="003328FE"/>
    <w:rsid w:val="00334099"/>
    <w:rsid w:val="00335CD2"/>
    <w:rsid w:val="003512DF"/>
    <w:rsid w:val="00351390"/>
    <w:rsid w:val="00352DF8"/>
    <w:rsid w:val="00354107"/>
    <w:rsid w:val="00354E8B"/>
    <w:rsid w:val="0035595C"/>
    <w:rsid w:val="003616D5"/>
    <w:rsid w:val="003628C5"/>
    <w:rsid w:val="003672EA"/>
    <w:rsid w:val="0037062A"/>
    <w:rsid w:val="00373F0E"/>
    <w:rsid w:val="003814B2"/>
    <w:rsid w:val="003913FE"/>
    <w:rsid w:val="00391EBC"/>
    <w:rsid w:val="0039615C"/>
    <w:rsid w:val="003A21D2"/>
    <w:rsid w:val="003A35A3"/>
    <w:rsid w:val="003A48D9"/>
    <w:rsid w:val="003B0AED"/>
    <w:rsid w:val="003B16C7"/>
    <w:rsid w:val="003C448E"/>
    <w:rsid w:val="003D3DE2"/>
    <w:rsid w:val="003D5C51"/>
    <w:rsid w:val="003E3B72"/>
    <w:rsid w:val="003E55FD"/>
    <w:rsid w:val="003F4A7F"/>
    <w:rsid w:val="00401EBC"/>
    <w:rsid w:val="00406524"/>
    <w:rsid w:val="0041494A"/>
    <w:rsid w:val="0043410F"/>
    <w:rsid w:val="00435C2C"/>
    <w:rsid w:val="0043714D"/>
    <w:rsid w:val="00441A90"/>
    <w:rsid w:val="00443962"/>
    <w:rsid w:val="00446C04"/>
    <w:rsid w:val="00455CBB"/>
    <w:rsid w:val="00467915"/>
    <w:rsid w:val="004719BF"/>
    <w:rsid w:val="00495C79"/>
    <w:rsid w:val="004B4AE2"/>
    <w:rsid w:val="004C60DC"/>
    <w:rsid w:val="004D37EF"/>
    <w:rsid w:val="004D4EC8"/>
    <w:rsid w:val="004D7055"/>
    <w:rsid w:val="004E2675"/>
    <w:rsid w:val="004E3AA1"/>
    <w:rsid w:val="004F6B30"/>
    <w:rsid w:val="0050733B"/>
    <w:rsid w:val="00516469"/>
    <w:rsid w:val="0051774D"/>
    <w:rsid w:val="0052716C"/>
    <w:rsid w:val="0053083E"/>
    <w:rsid w:val="00535A83"/>
    <w:rsid w:val="00537176"/>
    <w:rsid w:val="00554938"/>
    <w:rsid w:val="00560975"/>
    <w:rsid w:val="005612A1"/>
    <w:rsid w:val="00566F42"/>
    <w:rsid w:val="0057242A"/>
    <w:rsid w:val="00580FF8"/>
    <w:rsid w:val="00583195"/>
    <w:rsid w:val="00590C17"/>
    <w:rsid w:val="00593866"/>
    <w:rsid w:val="00595716"/>
    <w:rsid w:val="005A2177"/>
    <w:rsid w:val="005A29D4"/>
    <w:rsid w:val="005A2D9E"/>
    <w:rsid w:val="005B5C5F"/>
    <w:rsid w:val="005B72E8"/>
    <w:rsid w:val="005C0789"/>
    <w:rsid w:val="005C4039"/>
    <w:rsid w:val="005C7733"/>
    <w:rsid w:val="005D69CF"/>
    <w:rsid w:val="005E3D89"/>
    <w:rsid w:val="005E553D"/>
    <w:rsid w:val="005F4826"/>
    <w:rsid w:val="00615D16"/>
    <w:rsid w:val="00623EEC"/>
    <w:rsid w:val="00626798"/>
    <w:rsid w:val="006278CB"/>
    <w:rsid w:val="00633013"/>
    <w:rsid w:val="00642CCA"/>
    <w:rsid w:val="00645B76"/>
    <w:rsid w:val="006564FD"/>
    <w:rsid w:val="00662663"/>
    <w:rsid w:val="00665540"/>
    <w:rsid w:val="00672119"/>
    <w:rsid w:val="006730A0"/>
    <w:rsid w:val="0067647E"/>
    <w:rsid w:val="00677C90"/>
    <w:rsid w:val="00690D59"/>
    <w:rsid w:val="00693D83"/>
    <w:rsid w:val="006A4A30"/>
    <w:rsid w:val="006A63F8"/>
    <w:rsid w:val="006B107C"/>
    <w:rsid w:val="006C2BC3"/>
    <w:rsid w:val="006E1905"/>
    <w:rsid w:val="006E3268"/>
    <w:rsid w:val="006E4A6B"/>
    <w:rsid w:val="006F1BA1"/>
    <w:rsid w:val="006F7395"/>
    <w:rsid w:val="007059D1"/>
    <w:rsid w:val="00707E7C"/>
    <w:rsid w:val="00714D4D"/>
    <w:rsid w:val="007169ED"/>
    <w:rsid w:val="0072345C"/>
    <w:rsid w:val="00726485"/>
    <w:rsid w:val="00727D29"/>
    <w:rsid w:val="00743B8C"/>
    <w:rsid w:val="00751836"/>
    <w:rsid w:val="00752136"/>
    <w:rsid w:val="0075382D"/>
    <w:rsid w:val="00754FC6"/>
    <w:rsid w:val="0078093B"/>
    <w:rsid w:val="0079399A"/>
    <w:rsid w:val="007A7BBA"/>
    <w:rsid w:val="007B7E41"/>
    <w:rsid w:val="007C3BB2"/>
    <w:rsid w:val="007C5A79"/>
    <w:rsid w:val="007C5DB1"/>
    <w:rsid w:val="007D13BD"/>
    <w:rsid w:val="007F3432"/>
    <w:rsid w:val="007F6B74"/>
    <w:rsid w:val="00802435"/>
    <w:rsid w:val="00805643"/>
    <w:rsid w:val="00814101"/>
    <w:rsid w:val="00814890"/>
    <w:rsid w:val="00816FAD"/>
    <w:rsid w:val="00817535"/>
    <w:rsid w:val="00827E00"/>
    <w:rsid w:val="00834C74"/>
    <w:rsid w:val="008377FF"/>
    <w:rsid w:val="00843084"/>
    <w:rsid w:val="00851830"/>
    <w:rsid w:val="00852D2C"/>
    <w:rsid w:val="008607D4"/>
    <w:rsid w:val="00864137"/>
    <w:rsid w:val="00864427"/>
    <w:rsid w:val="00864BE0"/>
    <w:rsid w:val="00866F8B"/>
    <w:rsid w:val="00867C88"/>
    <w:rsid w:val="0087086A"/>
    <w:rsid w:val="00872845"/>
    <w:rsid w:val="0089320A"/>
    <w:rsid w:val="00893213"/>
    <w:rsid w:val="008A4D93"/>
    <w:rsid w:val="008A5572"/>
    <w:rsid w:val="008B514A"/>
    <w:rsid w:val="008D0973"/>
    <w:rsid w:val="008D41FD"/>
    <w:rsid w:val="008E7C26"/>
    <w:rsid w:val="008F7844"/>
    <w:rsid w:val="00906BB8"/>
    <w:rsid w:val="00911351"/>
    <w:rsid w:val="0091629B"/>
    <w:rsid w:val="00917204"/>
    <w:rsid w:val="00924734"/>
    <w:rsid w:val="0093411F"/>
    <w:rsid w:val="00937754"/>
    <w:rsid w:val="00945CFF"/>
    <w:rsid w:val="00952E86"/>
    <w:rsid w:val="009563A3"/>
    <w:rsid w:val="0096622B"/>
    <w:rsid w:val="00967E58"/>
    <w:rsid w:val="009769B2"/>
    <w:rsid w:val="00982EE9"/>
    <w:rsid w:val="00990B97"/>
    <w:rsid w:val="009B3276"/>
    <w:rsid w:val="009B35CF"/>
    <w:rsid w:val="009B7194"/>
    <w:rsid w:val="009C18A2"/>
    <w:rsid w:val="009C4E9A"/>
    <w:rsid w:val="009C5AB5"/>
    <w:rsid w:val="009C639A"/>
    <w:rsid w:val="009D0F1C"/>
    <w:rsid w:val="009D1A86"/>
    <w:rsid w:val="00A002A8"/>
    <w:rsid w:val="00A050DE"/>
    <w:rsid w:val="00A06E38"/>
    <w:rsid w:val="00A07E0A"/>
    <w:rsid w:val="00A40253"/>
    <w:rsid w:val="00A50A2A"/>
    <w:rsid w:val="00A66AD1"/>
    <w:rsid w:val="00A735C3"/>
    <w:rsid w:val="00A74AEF"/>
    <w:rsid w:val="00A85008"/>
    <w:rsid w:val="00A853D1"/>
    <w:rsid w:val="00A9251D"/>
    <w:rsid w:val="00A94B02"/>
    <w:rsid w:val="00A95DAE"/>
    <w:rsid w:val="00AA0CB6"/>
    <w:rsid w:val="00AA25DC"/>
    <w:rsid w:val="00AA2D11"/>
    <w:rsid w:val="00AA4C36"/>
    <w:rsid w:val="00AB04BE"/>
    <w:rsid w:val="00AC2CFC"/>
    <w:rsid w:val="00AC5D9D"/>
    <w:rsid w:val="00AD6B0B"/>
    <w:rsid w:val="00AE5750"/>
    <w:rsid w:val="00AF3F7B"/>
    <w:rsid w:val="00B0004F"/>
    <w:rsid w:val="00B12DC6"/>
    <w:rsid w:val="00B20B81"/>
    <w:rsid w:val="00B26EE1"/>
    <w:rsid w:val="00B3418F"/>
    <w:rsid w:val="00B366F7"/>
    <w:rsid w:val="00B405CD"/>
    <w:rsid w:val="00B4360E"/>
    <w:rsid w:val="00B445B5"/>
    <w:rsid w:val="00B55287"/>
    <w:rsid w:val="00B56206"/>
    <w:rsid w:val="00B64D71"/>
    <w:rsid w:val="00B658EA"/>
    <w:rsid w:val="00B71431"/>
    <w:rsid w:val="00B73393"/>
    <w:rsid w:val="00B81A0C"/>
    <w:rsid w:val="00B85710"/>
    <w:rsid w:val="00B9157E"/>
    <w:rsid w:val="00BA03B0"/>
    <w:rsid w:val="00BA6009"/>
    <w:rsid w:val="00BA63F3"/>
    <w:rsid w:val="00BB2455"/>
    <w:rsid w:val="00BB287C"/>
    <w:rsid w:val="00BB6D13"/>
    <w:rsid w:val="00BC0491"/>
    <w:rsid w:val="00BF42B4"/>
    <w:rsid w:val="00C00FBE"/>
    <w:rsid w:val="00C031A9"/>
    <w:rsid w:val="00C03FD5"/>
    <w:rsid w:val="00C10DCD"/>
    <w:rsid w:val="00C12FE6"/>
    <w:rsid w:val="00C15395"/>
    <w:rsid w:val="00C21809"/>
    <w:rsid w:val="00C255F4"/>
    <w:rsid w:val="00C36403"/>
    <w:rsid w:val="00C423F9"/>
    <w:rsid w:val="00C438D0"/>
    <w:rsid w:val="00C475A5"/>
    <w:rsid w:val="00C6150D"/>
    <w:rsid w:val="00C6158D"/>
    <w:rsid w:val="00C714E6"/>
    <w:rsid w:val="00C73462"/>
    <w:rsid w:val="00C770E1"/>
    <w:rsid w:val="00C95A99"/>
    <w:rsid w:val="00CA3261"/>
    <w:rsid w:val="00CA3EB6"/>
    <w:rsid w:val="00CA72FF"/>
    <w:rsid w:val="00CB1E3B"/>
    <w:rsid w:val="00CC267A"/>
    <w:rsid w:val="00CC409B"/>
    <w:rsid w:val="00CE0395"/>
    <w:rsid w:val="00CE73F0"/>
    <w:rsid w:val="00CF4C59"/>
    <w:rsid w:val="00D0213D"/>
    <w:rsid w:val="00D054FC"/>
    <w:rsid w:val="00D13C85"/>
    <w:rsid w:val="00D24269"/>
    <w:rsid w:val="00D24684"/>
    <w:rsid w:val="00D26801"/>
    <w:rsid w:val="00D30E4C"/>
    <w:rsid w:val="00D36711"/>
    <w:rsid w:val="00D43086"/>
    <w:rsid w:val="00D45B83"/>
    <w:rsid w:val="00D46392"/>
    <w:rsid w:val="00D53181"/>
    <w:rsid w:val="00D54053"/>
    <w:rsid w:val="00D57769"/>
    <w:rsid w:val="00D63C94"/>
    <w:rsid w:val="00D725E7"/>
    <w:rsid w:val="00D80731"/>
    <w:rsid w:val="00D8147D"/>
    <w:rsid w:val="00D859AB"/>
    <w:rsid w:val="00D85E5A"/>
    <w:rsid w:val="00D875FA"/>
    <w:rsid w:val="00D96019"/>
    <w:rsid w:val="00DA52B1"/>
    <w:rsid w:val="00DA678D"/>
    <w:rsid w:val="00DA7CA5"/>
    <w:rsid w:val="00DA7F65"/>
    <w:rsid w:val="00DB73C1"/>
    <w:rsid w:val="00DC725D"/>
    <w:rsid w:val="00DF2B99"/>
    <w:rsid w:val="00DF2BED"/>
    <w:rsid w:val="00E01648"/>
    <w:rsid w:val="00E1067B"/>
    <w:rsid w:val="00E1449A"/>
    <w:rsid w:val="00E30D7B"/>
    <w:rsid w:val="00E53978"/>
    <w:rsid w:val="00E55348"/>
    <w:rsid w:val="00E74B23"/>
    <w:rsid w:val="00E87C5C"/>
    <w:rsid w:val="00EA54C4"/>
    <w:rsid w:val="00EB24BA"/>
    <w:rsid w:val="00EB489B"/>
    <w:rsid w:val="00EC2233"/>
    <w:rsid w:val="00EC7771"/>
    <w:rsid w:val="00ED155A"/>
    <w:rsid w:val="00EE7472"/>
    <w:rsid w:val="00EF574A"/>
    <w:rsid w:val="00F0343F"/>
    <w:rsid w:val="00F1304C"/>
    <w:rsid w:val="00F20282"/>
    <w:rsid w:val="00F23E81"/>
    <w:rsid w:val="00F260D0"/>
    <w:rsid w:val="00F60D90"/>
    <w:rsid w:val="00F662D5"/>
    <w:rsid w:val="00F87663"/>
    <w:rsid w:val="00F91C87"/>
    <w:rsid w:val="00F94BC9"/>
    <w:rsid w:val="00F95F2D"/>
    <w:rsid w:val="00FA1EB3"/>
    <w:rsid w:val="00FA2988"/>
    <w:rsid w:val="00FB5D38"/>
    <w:rsid w:val="00FD07C6"/>
    <w:rsid w:val="00FD3E8A"/>
    <w:rsid w:val="00FD418D"/>
    <w:rsid w:val="00FD5009"/>
    <w:rsid w:val="00FF27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4FD41"/>
  <w15:chartTrackingRefBased/>
  <w15:docId w15:val="{E3322757-67B6-4D62-8310-F5235547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D0"/>
    <w:pPr>
      <w:autoSpaceDE w:val="0"/>
      <w:autoSpaceDN w:val="0"/>
    </w:pPr>
    <w:rPr>
      <w:rFonts w:ascii="Times New Roman" w:eastAsia="Times New Roman" w:hAnsi="Times New Roman"/>
      <w:lang w:val="en-US" w:eastAsia="en-US"/>
    </w:rPr>
  </w:style>
  <w:style w:type="paragraph" w:styleId="Ttulo1">
    <w:name w:val="heading 1"/>
    <w:basedOn w:val="Normal"/>
    <w:next w:val="Normal"/>
    <w:link w:val="Ttulo1Car"/>
    <w:qFormat/>
    <w:rsid w:val="00851830"/>
    <w:pPr>
      <w:keepNext/>
      <w:numPr>
        <w:numId w:val="1"/>
      </w:numPr>
      <w:spacing w:before="240" w:after="80"/>
      <w:jc w:val="center"/>
      <w:outlineLvl w:val="0"/>
    </w:pPr>
    <w:rPr>
      <w:smallCaps/>
      <w:kern w:val="28"/>
      <w:lang w:val="es-CL"/>
    </w:rPr>
  </w:style>
  <w:style w:type="paragraph" w:styleId="Ttulo2">
    <w:name w:val="heading 2"/>
    <w:basedOn w:val="Normal"/>
    <w:next w:val="Normal"/>
    <w:link w:val="Ttulo2Car"/>
    <w:qFormat/>
    <w:rsid w:val="00F260D0"/>
    <w:pPr>
      <w:keepNext/>
      <w:numPr>
        <w:ilvl w:val="1"/>
        <w:numId w:val="1"/>
      </w:numPr>
      <w:spacing w:before="120" w:after="60"/>
      <w:outlineLvl w:val="1"/>
    </w:pPr>
    <w:rPr>
      <w:i/>
      <w:iCs/>
    </w:rPr>
  </w:style>
  <w:style w:type="paragraph" w:styleId="Ttulo3">
    <w:name w:val="heading 3"/>
    <w:basedOn w:val="Normal"/>
    <w:next w:val="Normal"/>
    <w:link w:val="Ttulo3Car"/>
    <w:qFormat/>
    <w:rsid w:val="00F260D0"/>
    <w:pPr>
      <w:keepNext/>
      <w:numPr>
        <w:ilvl w:val="2"/>
        <w:numId w:val="1"/>
      </w:numPr>
      <w:outlineLvl w:val="2"/>
    </w:pPr>
    <w:rPr>
      <w:i/>
      <w:iCs/>
    </w:rPr>
  </w:style>
  <w:style w:type="paragraph" w:styleId="Ttulo4">
    <w:name w:val="heading 4"/>
    <w:basedOn w:val="Normal"/>
    <w:next w:val="Normal"/>
    <w:link w:val="Ttulo4Car"/>
    <w:qFormat/>
    <w:rsid w:val="00F260D0"/>
    <w:pPr>
      <w:keepNext/>
      <w:numPr>
        <w:ilvl w:val="3"/>
        <w:numId w:val="1"/>
      </w:numPr>
      <w:spacing w:before="240" w:after="60"/>
      <w:outlineLvl w:val="3"/>
    </w:pPr>
    <w:rPr>
      <w:i/>
      <w:iCs/>
      <w:sz w:val="18"/>
      <w:szCs w:val="18"/>
    </w:rPr>
  </w:style>
  <w:style w:type="paragraph" w:styleId="Ttulo5">
    <w:name w:val="heading 5"/>
    <w:basedOn w:val="Normal"/>
    <w:next w:val="Normal"/>
    <w:link w:val="Ttulo5Car"/>
    <w:qFormat/>
    <w:rsid w:val="00F260D0"/>
    <w:pPr>
      <w:numPr>
        <w:ilvl w:val="4"/>
        <w:numId w:val="1"/>
      </w:numPr>
      <w:spacing w:before="240" w:after="60"/>
      <w:outlineLvl w:val="4"/>
    </w:pPr>
    <w:rPr>
      <w:sz w:val="18"/>
      <w:szCs w:val="18"/>
    </w:rPr>
  </w:style>
  <w:style w:type="paragraph" w:styleId="Ttulo6">
    <w:name w:val="heading 6"/>
    <w:basedOn w:val="Normal"/>
    <w:next w:val="Normal"/>
    <w:link w:val="Ttulo6Car"/>
    <w:qFormat/>
    <w:rsid w:val="00F260D0"/>
    <w:pPr>
      <w:numPr>
        <w:ilvl w:val="5"/>
        <w:numId w:val="1"/>
      </w:numPr>
      <w:spacing w:before="240" w:after="60"/>
      <w:outlineLvl w:val="5"/>
    </w:pPr>
    <w:rPr>
      <w:i/>
      <w:iCs/>
      <w:sz w:val="16"/>
      <w:szCs w:val="16"/>
    </w:rPr>
  </w:style>
  <w:style w:type="paragraph" w:styleId="Ttulo7">
    <w:name w:val="heading 7"/>
    <w:basedOn w:val="Normal"/>
    <w:next w:val="Normal"/>
    <w:link w:val="Ttulo7Car"/>
    <w:qFormat/>
    <w:rsid w:val="00F260D0"/>
    <w:pPr>
      <w:numPr>
        <w:ilvl w:val="6"/>
        <w:numId w:val="1"/>
      </w:numPr>
      <w:spacing w:before="240" w:after="60"/>
      <w:outlineLvl w:val="6"/>
    </w:pPr>
    <w:rPr>
      <w:sz w:val="16"/>
      <w:szCs w:val="16"/>
    </w:rPr>
  </w:style>
  <w:style w:type="paragraph" w:styleId="Ttulo8">
    <w:name w:val="heading 8"/>
    <w:basedOn w:val="Normal"/>
    <w:next w:val="Normal"/>
    <w:link w:val="Ttulo8Car"/>
    <w:qFormat/>
    <w:rsid w:val="00F260D0"/>
    <w:pPr>
      <w:numPr>
        <w:ilvl w:val="7"/>
        <w:numId w:val="1"/>
      </w:numPr>
      <w:spacing w:before="240" w:after="60"/>
      <w:outlineLvl w:val="7"/>
    </w:pPr>
    <w:rPr>
      <w:i/>
      <w:iCs/>
      <w:sz w:val="16"/>
      <w:szCs w:val="16"/>
    </w:rPr>
  </w:style>
  <w:style w:type="paragraph" w:styleId="Ttulo9">
    <w:name w:val="heading 9"/>
    <w:basedOn w:val="Normal"/>
    <w:next w:val="Normal"/>
    <w:link w:val="Ttulo9Car"/>
    <w:qFormat/>
    <w:rsid w:val="00F260D0"/>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51830"/>
    <w:rPr>
      <w:rFonts w:ascii="Times New Roman" w:eastAsia="Times New Roman" w:hAnsi="Times New Roman"/>
      <w:smallCaps/>
      <w:kern w:val="28"/>
      <w:lang w:eastAsia="en-US"/>
    </w:rPr>
  </w:style>
  <w:style w:type="character" w:customStyle="1" w:styleId="Ttulo2Car">
    <w:name w:val="Título 2 Car"/>
    <w:link w:val="Ttulo2"/>
    <w:rsid w:val="00F260D0"/>
    <w:rPr>
      <w:rFonts w:ascii="Times New Roman" w:eastAsia="Times New Roman" w:hAnsi="Times New Roman" w:cs="Times New Roman"/>
      <w:i/>
      <w:iCs/>
      <w:sz w:val="20"/>
      <w:szCs w:val="20"/>
      <w:lang w:val="en-US"/>
    </w:rPr>
  </w:style>
  <w:style w:type="character" w:customStyle="1" w:styleId="Ttulo3Car">
    <w:name w:val="Título 3 Car"/>
    <w:link w:val="Ttulo3"/>
    <w:rsid w:val="00F260D0"/>
    <w:rPr>
      <w:rFonts w:ascii="Times New Roman" w:eastAsia="Times New Roman" w:hAnsi="Times New Roman" w:cs="Times New Roman"/>
      <w:i/>
      <w:iCs/>
      <w:sz w:val="20"/>
      <w:szCs w:val="20"/>
      <w:lang w:val="en-US"/>
    </w:rPr>
  </w:style>
  <w:style w:type="character" w:customStyle="1" w:styleId="Ttulo4Car">
    <w:name w:val="Título 4 Car"/>
    <w:link w:val="Ttulo4"/>
    <w:rsid w:val="00F260D0"/>
    <w:rPr>
      <w:rFonts w:ascii="Times New Roman" w:eastAsia="Times New Roman" w:hAnsi="Times New Roman" w:cs="Times New Roman"/>
      <w:i/>
      <w:iCs/>
      <w:sz w:val="18"/>
      <w:szCs w:val="18"/>
      <w:lang w:val="en-US"/>
    </w:rPr>
  </w:style>
  <w:style w:type="character" w:customStyle="1" w:styleId="Ttulo5Car">
    <w:name w:val="Título 5 Car"/>
    <w:link w:val="Ttulo5"/>
    <w:rsid w:val="00F260D0"/>
    <w:rPr>
      <w:rFonts w:ascii="Times New Roman" w:eastAsia="Times New Roman" w:hAnsi="Times New Roman" w:cs="Times New Roman"/>
      <w:sz w:val="18"/>
      <w:szCs w:val="18"/>
      <w:lang w:val="en-US"/>
    </w:rPr>
  </w:style>
  <w:style w:type="character" w:customStyle="1" w:styleId="Ttulo6Car">
    <w:name w:val="Título 6 Car"/>
    <w:link w:val="Ttulo6"/>
    <w:rsid w:val="00F260D0"/>
    <w:rPr>
      <w:rFonts w:ascii="Times New Roman" w:eastAsia="Times New Roman" w:hAnsi="Times New Roman" w:cs="Times New Roman"/>
      <w:i/>
      <w:iCs/>
      <w:sz w:val="16"/>
      <w:szCs w:val="16"/>
      <w:lang w:val="en-US"/>
    </w:rPr>
  </w:style>
  <w:style w:type="character" w:customStyle="1" w:styleId="Ttulo7Car">
    <w:name w:val="Título 7 Car"/>
    <w:link w:val="Ttulo7"/>
    <w:rsid w:val="00F260D0"/>
    <w:rPr>
      <w:rFonts w:ascii="Times New Roman" w:eastAsia="Times New Roman" w:hAnsi="Times New Roman" w:cs="Times New Roman"/>
      <w:sz w:val="16"/>
      <w:szCs w:val="16"/>
      <w:lang w:val="en-US"/>
    </w:rPr>
  </w:style>
  <w:style w:type="character" w:customStyle="1" w:styleId="Ttulo8Car">
    <w:name w:val="Título 8 Car"/>
    <w:link w:val="Ttulo8"/>
    <w:rsid w:val="00F260D0"/>
    <w:rPr>
      <w:rFonts w:ascii="Times New Roman" w:eastAsia="Times New Roman" w:hAnsi="Times New Roman" w:cs="Times New Roman"/>
      <w:i/>
      <w:iCs/>
      <w:sz w:val="16"/>
      <w:szCs w:val="16"/>
      <w:lang w:val="en-US"/>
    </w:rPr>
  </w:style>
  <w:style w:type="character" w:customStyle="1" w:styleId="Ttulo9Car">
    <w:name w:val="Título 9 Car"/>
    <w:link w:val="Ttulo9"/>
    <w:rsid w:val="00F260D0"/>
    <w:rPr>
      <w:rFonts w:ascii="Times New Roman" w:eastAsia="Times New Roman" w:hAnsi="Times New Roman" w:cs="Times New Roman"/>
      <w:sz w:val="16"/>
      <w:szCs w:val="16"/>
      <w:lang w:val="en-US"/>
    </w:rPr>
  </w:style>
  <w:style w:type="paragraph" w:customStyle="1" w:styleId="Abstract">
    <w:name w:val="Abstract"/>
    <w:basedOn w:val="Normal"/>
    <w:next w:val="Normal"/>
    <w:rsid w:val="00F260D0"/>
    <w:pPr>
      <w:spacing w:before="20"/>
      <w:ind w:firstLine="202"/>
      <w:jc w:val="both"/>
    </w:pPr>
    <w:rPr>
      <w:b/>
      <w:bCs/>
      <w:sz w:val="18"/>
      <w:szCs w:val="18"/>
    </w:rPr>
  </w:style>
  <w:style w:type="paragraph" w:customStyle="1" w:styleId="Authors">
    <w:name w:val="Authors"/>
    <w:basedOn w:val="Normal"/>
    <w:next w:val="Normal"/>
    <w:rsid w:val="00F260D0"/>
    <w:pPr>
      <w:framePr w:w="9072" w:hSpace="187" w:vSpace="187" w:wrap="notBeside" w:vAnchor="text" w:hAnchor="page" w:xAlign="center" w:y="1"/>
      <w:spacing w:after="320"/>
      <w:jc w:val="center"/>
    </w:pPr>
    <w:rPr>
      <w:sz w:val="22"/>
      <w:szCs w:val="22"/>
    </w:rPr>
  </w:style>
  <w:style w:type="character" w:customStyle="1" w:styleId="MemberType">
    <w:name w:val="MemberType"/>
    <w:rsid w:val="00F260D0"/>
    <w:rPr>
      <w:rFonts w:ascii="Times New Roman" w:hAnsi="Times New Roman" w:cs="Times New Roman"/>
      <w:i/>
      <w:iCs/>
      <w:sz w:val="22"/>
      <w:szCs w:val="22"/>
    </w:rPr>
  </w:style>
  <w:style w:type="paragraph" w:styleId="Ttulo">
    <w:name w:val="Title"/>
    <w:basedOn w:val="Normal"/>
    <w:next w:val="Normal"/>
    <w:link w:val="TtuloCar"/>
    <w:qFormat/>
    <w:rsid w:val="00F260D0"/>
    <w:pPr>
      <w:framePr w:w="9360" w:hSpace="187" w:vSpace="187" w:wrap="notBeside" w:vAnchor="text" w:hAnchor="page" w:xAlign="center" w:y="1"/>
      <w:jc w:val="center"/>
    </w:pPr>
    <w:rPr>
      <w:kern w:val="28"/>
      <w:sz w:val="48"/>
      <w:szCs w:val="48"/>
    </w:rPr>
  </w:style>
  <w:style w:type="character" w:customStyle="1" w:styleId="TtuloCar">
    <w:name w:val="Título Car"/>
    <w:link w:val="Ttulo"/>
    <w:rsid w:val="00F260D0"/>
    <w:rPr>
      <w:rFonts w:ascii="Times New Roman" w:eastAsia="Times New Roman" w:hAnsi="Times New Roman" w:cs="Times New Roman"/>
      <w:kern w:val="28"/>
      <w:sz w:val="48"/>
      <w:szCs w:val="48"/>
      <w:lang w:val="en-US"/>
    </w:rPr>
  </w:style>
  <w:style w:type="paragraph" w:styleId="Textonotapie">
    <w:name w:val="footnote text"/>
    <w:basedOn w:val="Normal"/>
    <w:link w:val="TextonotapieCar"/>
    <w:semiHidden/>
    <w:rsid w:val="00F260D0"/>
    <w:pPr>
      <w:ind w:firstLine="202"/>
      <w:jc w:val="both"/>
    </w:pPr>
    <w:rPr>
      <w:sz w:val="16"/>
      <w:szCs w:val="16"/>
    </w:rPr>
  </w:style>
  <w:style w:type="character" w:customStyle="1" w:styleId="TextonotapieCar">
    <w:name w:val="Texto nota pie Car"/>
    <w:link w:val="Textonotapie"/>
    <w:semiHidden/>
    <w:rsid w:val="00F260D0"/>
    <w:rPr>
      <w:rFonts w:ascii="Times New Roman" w:eastAsia="Times New Roman" w:hAnsi="Times New Roman" w:cs="Times New Roman"/>
      <w:sz w:val="16"/>
      <w:szCs w:val="16"/>
      <w:lang w:val="en-US"/>
    </w:rPr>
  </w:style>
  <w:style w:type="paragraph" w:customStyle="1" w:styleId="References">
    <w:name w:val="References"/>
    <w:basedOn w:val="Normal"/>
    <w:rsid w:val="00F260D0"/>
    <w:pPr>
      <w:numPr>
        <w:numId w:val="2"/>
      </w:numPr>
      <w:jc w:val="both"/>
    </w:pPr>
    <w:rPr>
      <w:sz w:val="16"/>
      <w:szCs w:val="16"/>
    </w:rPr>
  </w:style>
  <w:style w:type="paragraph" w:customStyle="1" w:styleId="IndexTerms">
    <w:name w:val="IndexTerms"/>
    <w:basedOn w:val="Normal"/>
    <w:next w:val="Normal"/>
    <w:rsid w:val="00F260D0"/>
    <w:pPr>
      <w:ind w:firstLine="202"/>
      <w:jc w:val="both"/>
    </w:pPr>
    <w:rPr>
      <w:b/>
      <w:bCs/>
      <w:sz w:val="18"/>
      <w:szCs w:val="18"/>
    </w:rPr>
  </w:style>
  <w:style w:type="character" w:styleId="Refdenotaalpie">
    <w:name w:val="footnote reference"/>
    <w:semiHidden/>
    <w:rsid w:val="00F260D0"/>
    <w:rPr>
      <w:vertAlign w:val="superscript"/>
    </w:rPr>
  </w:style>
  <w:style w:type="paragraph" w:customStyle="1" w:styleId="TextCarCar">
    <w:name w:val="Text Car Car"/>
    <w:basedOn w:val="Normal"/>
    <w:link w:val="TextCarCarCar"/>
    <w:rsid w:val="00F260D0"/>
    <w:pPr>
      <w:widowControl w:val="0"/>
      <w:spacing w:line="252" w:lineRule="auto"/>
      <w:ind w:firstLine="202"/>
      <w:jc w:val="both"/>
    </w:pPr>
  </w:style>
  <w:style w:type="paragraph" w:customStyle="1" w:styleId="FigureCaption">
    <w:name w:val="Figure Caption"/>
    <w:basedOn w:val="Normal"/>
    <w:rsid w:val="00F260D0"/>
    <w:pPr>
      <w:jc w:val="both"/>
    </w:pPr>
    <w:rPr>
      <w:sz w:val="16"/>
      <w:szCs w:val="16"/>
    </w:rPr>
  </w:style>
  <w:style w:type="paragraph" w:customStyle="1" w:styleId="TableTitle">
    <w:name w:val="Table Title"/>
    <w:basedOn w:val="Normal"/>
    <w:rsid w:val="00F260D0"/>
    <w:pPr>
      <w:jc w:val="center"/>
    </w:pPr>
    <w:rPr>
      <w:smallCaps/>
      <w:sz w:val="16"/>
      <w:szCs w:val="16"/>
    </w:rPr>
  </w:style>
  <w:style w:type="paragraph" w:customStyle="1" w:styleId="ReferenceHead">
    <w:name w:val="Reference Head"/>
    <w:basedOn w:val="Ttulo1"/>
    <w:rsid w:val="00F260D0"/>
    <w:pPr>
      <w:numPr>
        <w:numId w:val="0"/>
      </w:numPr>
    </w:pPr>
  </w:style>
  <w:style w:type="paragraph" w:customStyle="1" w:styleId="Equation">
    <w:name w:val="Equation"/>
    <w:basedOn w:val="Normal"/>
    <w:next w:val="Normal"/>
    <w:rsid w:val="00F260D0"/>
    <w:pPr>
      <w:widowControl w:val="0"/>
      <w:tabs>
        <w:tab w:val="right" w:pos="5040"/>
      </w:tabs>
      <w:spacing w:line="252" w:lineRule="auto"/>
      <w:jc w:val="both"/>
    </w:pPr>
  </w:style>
  <w:style w:type="character" w:styleId="Hipervnculo">
    <w:name w:val="Hyperlink"/>
    <w:rsid w:val="00F260D0"/>
    <w:rPr>
      <w:color w:val="0000FF"/>
      <w:u w:val="single"/>
    </w:rPr>
  </w:style>
  <w:style w:type="paragraph" w:styleId="Encabezado">
    <w:name w:val="header"/>
    <w:basedOn w:val="Normal"/>
    <w:link w:val="EncabezadoCar"/>
    <w:uiPriority w:val="99"/>
    <w:unhideWhenUsed/>
    <w:rsid w:val="00F260D0"/>
    <w:pPr>
      <w:tabs>
        <w:tab w:val="center" w:pos="4252"/>
        <w:tab w:val="right" w:pos="8504"/>
      </w:tabs>
    </w:pPr>
  </w:style>
  <w:style w:type="character" w:customStyle="1" w:styleId="EncabezadoCar">
    <w:name w:val="Encabezado Car"/>
    <w:link w:val="Encabezado"/>
    <w:uiPriority w:val="99"/>
    <w:rsid w:val="00F260D0"/>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260D0"/>
    <w:pPr>
      <w:tabs>
        <w:tab w:val="center" w:pos="4252"/>
        <w:tab w:val="right" w:pos="8504"/>
      </w:tabs>
    </w:pPr>
  </w:style>
  <w:style w:type="character" w:customStyle="1" w:styleId="PiedepginaCar">
    <w:name w:val="Pie de página Car"/>
    <w:link w:val="Piedepgina"/>
    <w:uiPriority w:val="99"/>
    <w:rsid w:val="00F260D0"/>
    <w:rPr>
      <w:rFonts w:ascii="Times New Roman" w:eastAsia="Times New Roman" w:hAnsi="Times New Roman" w:cs="Times New Roman"/>
      <w:sz w:val="20"/>
      <w:szCs w:val="20"/>
      <w:lang w:val="en-US"/>
    </w:rPr>
  </w:style>
  <w:style w:type="character" w:customStyle="1" w:styleId="TextCarCarCar">
    <w:name w:val="Text Car Car Car"/>
    <w:link w:val="TextCarCar"/>
    <w:rsid w:val="00AB04BE"/>
    <w:rPr>
      <w:lang w:val="en-US" w:eastAsia="en-US" w:bidi="ar-SA"/>
    </w:rPr>
  </w:style>
  <w:style w:type="character" w:styleId="Mencinsinresolver">
    <w:name w:val="Unresolved Mention"/>
    <w:uiPriority w:val="99"/>
    <w:semiHidden/>
    <w:unhideWhenUsed/>
    <w:rsid w:val="00FD418D"/>
    <w:rPr>
      <w:color w:val="605E5C"/>
      <w:shd w:val="clear" w:color="auto" w:fill="E1DFDD"/>
    </w:rPr>
  </w:style>
  <w:style w:type="paragraph" w:styleId="NormalWeb">
    <w:name w:val="Normal (Web)"/>
    <w:basedOn w:val="Normal"/>
    <w:uiPriority w:val="99"/>
    <w:semiHidden/>
    <w:unhideWhenUsed/>
    <w:rsid w:val="00F20282"/>
    <w:rPr>
      <w:sz w:val="24"/>
      <w:szCs w:val="24"/>
    </w:rPr>
  </w:style>
  <w:style w:type="character" w:styleId="nfasis">
    <w:name w:val="Emphasis"/>
    <w:basedOn w:val="Fuentedeprrafopredeter"/>
    <w:uiPriority w:val="20"/>
    <w:qFormat/>
    <w:rsid w:val="001121D8"/>
    <w:rPr>
      <w:i/>
      <w:iCs/>
    </w:rPr>
  </w:style>
  <w:style w:type="character" w:styleId="Hipervnculovisitado">
    <w:name w:val="FollowedHyperlink"/>
    <w:basedOn w:val="Fuentedeprrafopredeter"/>
    <w:uiPriority w:val="99"/>
    <w:semiHidden/>
    <w:unhideWhenUsed/>
    <w:rsid w:val="00AD6B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99997">
      <w:bodyDiv w:val="1"/>
      <w:marLeft w:val="0"/>
      <w:marRight w:val="0"/>
      <w:marTop w:val="0"/>
      <w:marBottom w:val="0"/>
      <w:divBdr>
        <w:top w:val="none" w:sz="0" w:space="0" w:color="auto"/>
        <w:left w:val="none" w:sz="0" w:space="0" w:color="auto"/>
        <w:bottom w:val="none" w:sz="0" w:space="0" w:color="auto"/>
        <w:right w:val="none" w:sz="0" w:space="0" w:color="auto"/>
      </w:divBdr>
    </w:div>
    <w:div w:id="284779332">
      <w:bodyDiv w:val="1"/>
      <w:marLeft w:val="0"/>
      <w:marRight w:val="0"/>
      <w:marTop w:val="0"/>
      <w:marBottom w:val="0"/>
      <w:divBdr>
        <w:top w:val="none" w:sz="0" w:space="0" w:color="auto"/>
        <w:left w:val="none" w:sz="0" w:space="0" w:color="auto"/>
        <w:bottom w:val="none" w:sz="0" w:space="0" w:color="auto"/>
        <w:right w:val="none" w:sz="0" w:space="0" w:color="auto"/>
      </w:divBdr>
      <w:divsChild>
        <w:div w:id="215629445">
          <w:marLeft w:val="0"/>
          <w:marRight w:val="0"/>
          <w:marTop w:val="0"/>
          <w:marBottom w:val="0"/>
          <w:divBdr>
            <w:top w:val="none" w:sz="0" w:space="0" w:color="auto"/>
            <w:left w:val="none" w:sz="0" w:space="0" w:color="auto"/>
            <w:bottom w:val="none" w:sz="0" w:space="0" w:color="auto"/>
            <w:right w:val="none" w:sz="0" w:space="0" w:color="auto"/>
          </w:divBdr>
        </w:div>
      </w:divsChild>
    </w:div>
    <w:div w:id="431902600">
      <w:bodyDiv w:val="1"/>
      <w:marLeft w:val="0"/>
      <w:marRight w:val="0"/>
      <w:marTop w:val="0"/>
      <w:marBottom w:val="0"/>
      <w:divBdr>
        <w:top w:val="none" w:sz="0" w:space="0" w:color="auto"/>
        <w:left w:val="none" w:sz="0" w:space="0" w:color="auto"/>
        <w:bottom w:val="none" w:sz="0" w:space="0" w:color="auto"/>
        <w:right w:val="none" w:sz="0" w:space="0" w:color="auto"/>
      </w:divBdr>
    </w:div>
    <w:div w:id="844172476">
      <w:bodyDiv w:val="1"/>
      <w:marLeft w:val="0"/>
      <w:marRight w:val="0"/>
      <w:marTop w:val="0"/>
      <w:marBottom w:val="0"/>
      <w:divBdr>
        <w:top w:val="none" w:sz="0" w:space="0" w:color="auto"/>
        <w:left w:val="none" w:sz="0" w:space="0" w:color="auto"/>
        <w:bottom w:val="none" w:sz="0" w:space="0" w:color="auto"/>
        <w:right w:val="none" w:sz="0" w:space="0" w:color="auto"/>
      </w:divBdr>
    </w:div>
    <w:div w:id="871503477">
      <w:bodyDiv w:val="1"/>
      <w:marLeft w:val="0"/>
      <w:marRight w:val="0"/>
      <w:marTop w:val="0"/>
      <w:marBottom w:val="0"/>
      <w:divBdr>
        <w:top w:val="none" w:sz="0" w:space="0" w:color="auto"/>
        <w:left w:val="none" w:sz="0" w:space="0" w:color="auto"/>
        <w:bottom w:val="none" w:sz="0" w:space="0" w:color="auto"/>
        <w:right w:val="none" w:sz="0" w:space="0" w:color="auto"/>
      </w:divBdr>
    </w:div>
    <w:div w:id="893002193">
      <w:bodyDiv w:val="1"/>
      <w:marLeft w:val="0"/>
      <w:marRight w:val="0"/>
      <w:marTop w:val="0"/>
      <w:marBottom w:val="0"/>
      <w:divBdr>
        <w:top w:val="none" w:sz="0" w:space="0" w:color="auto"/>
        <w:left w:val="none" w:sz="0" w:space="0" w:color="auto"/>
        <w:bottom w:val="none" w:sz="0" w:space="0" w:color="auto"/>
        <w:right w:val="none" w:sz="0" w:space="0" w:color="auto"/>
      </w:divBdr>
    </w:div>
    <w:div w:id="894659248">
      <w:bodyDiv w:val="1"/>
      <w:marLeft w:val="0"/>
      <w:marRight w:val="0"/>
      <w:marTop w:val="0"/>
      <w:marBottom w:val="0"/>
      <w:divBdr>
        <w:top w:val="none" w:sz="0" w:space="0" w:color="auto"/>
        <w:left w:val="none" w:sz="0" w:space="0" w:color="auto"/>
        <w:bottom w:val="none" w:sz="0" w:space="0" w:color="auto"/>
        <w:right w:val="none" w:sz="0" w:space="0" w:color="auto"/>
      </w:divBdr>
    </w:div>
    <w:div w:id="969213278">
      <w:bodyDiv w:val="1"/>
      <w:marLeft w:val="0"/>
      <w:marRight w:val="0"/>
      <w:marTop w:val="0"/>
      <w:marBottom w:val="0"/>
      <w:divBdr>
        <w:top w:val="none" w:sz="0" w:space="0" w:color="auto"/>
        <w:left w:val="none" w:sz="0" w:space="0" w:color="auto"/>
        <w:bottom w:val="none" w:sz="0" w:space="0" w:color="auto"/>
        <w:right w:val="none" w:sz="0" w:space="0" w:color="auto"/>
      </w:divBdr>
    </w:div>
    <w:div w:id="1118528305">
      <w:bodyDiv w:val="1"/>
      <w:marLeft w:val="0"/>
      <w:marRight w:val="0"/>
      <w:marTop w:val="0"/>
      <w:marBottom w:val="0"/>
      <w:divBdr>
        <w:top w:val="none" w:sz="0" w:space="0" w:color="auto"/>
        <w:left w:val="none" w:sz="0" w:space="0" w:color="auto"/>
        <w:bottom w:val="none" w:sz="0" w:space="0" w:color="auto"/>
        <w:right w:val="none" w:sz="0" w:space="0" w:color="auto"/>
      </w:divBdr>
    </w:div>
    <w:div w:id="1174150197">
      <w:bodyDiv w:val="1"/>
      <w:marLeft w:val="0"/>
      <w:marRight w:val="0"/>
      <w:marTop w:val="0"/>
      <w:marBottom w:val="0"/>
      <w:divBdr>
        <w:top w:val="none" w:sz="0" w:space="0" w:color="auto"/>
        <w:left w:val="none" w:sz="0" w:space="0" w:color="auto"/>
        <w:bottom w:val="none" w:sz="0" w:space="0" w:color="auto"/>
        <w:right w:val="none" w:sz="0" w:space="0" w:color="auto"/>
      </w:divBdr>
    </w:div>
    <w:div w:id="1598906089">
      <w:bodyDiv w:val="1"/>
      <w:marLeft w:val="0"/>
      <w:marRight w:val="0"/>
      <w:marTop w:val="0"/>
      <w:marBottom w:val="0"/>
      <w:divBdr>
        <w:top w:val="none" w:sz="0" w:space="0" w:color="auto"/>
        <w:left w:val="none" w:sz="0" w:space="0" w:color="auto"/>
        <w:bottom w:val="none" w:sz="0" w:space="0" w:color="auto"/>
        <w:right w:val="none" w:sz="0" w:space="0" w:color="auto"/>
      </w:divBdr>
    </w:div>
    <w:div w:id="21051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3E4E-2BF8-4B41-859B-370784B5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3351</Words>
  <Characters>18436</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PAPELES Y CORRUGADOS ANDINA</Company>
  <LinksUpToDate>false</LinksUpToDate>
  <CharactersWithSpaces>21744</CharactersWithSpaces>
  <SharedDoc>false</SharedDoc>
  <HLinks>
    <vt:vector size="18" baseType="variant">
      <vt:variant>
        <vt:i4>1114118</vt:i4>
      </vt:variant>
      <vt:variant>
        <vt:i4>6</vt:i4>
      </vt:variant>
      <vt:variant>
        <vt:i4>0</vt:i4>
      </vt:variant>
      <vt:variant>
        <vt:i4>5</vt:i4>
      </vt:variant>
      <vt:variant>
        <vt:lpwstr>https://www.un.org/sustainabledevelopment/es/objetivos-de-desarrollo-sostenible/</vt:lpwstr>
      </vt:variant>
      <vt:variant>
        <vt:lpwstr/>
      </vt:variant>
      <vt:variant>
        <vt:i4>1114118</vt:i4>
      </vt:variant>
      <vt:variant>
        <vt:i4>0</vt:i4>
      </vt:variant>
      <vt:variant>
        <vt:i4>0</vt:i4>
      </vt:variant>
      <vt:variant>
        <vt:i4>5</vt:i4>
      </vt:variant>
      <vt:variant>
        <vt:lpwstr>https://www.un.org/sustainabledevelopment/es/objetivos-de-desarrollo-sostenible/</vt:lpwstr>
      </vt:variant>
      <vt:variant>
        <vt:lpwstr/>
      </vt:variant>
      <vt:variant>
        <vt:i4>6094849</vt:i4>
      </vt:variant>
      <vt:variant>
        <vt:i4>0</vt:i4>
      </vt:variant>
      <vt:variant>
        <vt:i4>0</vt:i4>
      </vt:variant>
      <vt:variant>
        <vt:i4>5</vt:i4>
      </vt:variant>
      <vt:variant>
        <vt:lpwstr>https://es.wikipedia.org/wiki/Cowspiracy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PAPELES Y CORRUGADOS ANDINA</dc:creator>
  <cp:keywords/>
  <cp:lastModifiedBy>Gustavo Toledo</cp:lastModifiedBy>
  <cp:revision>2</cp:revision>
  <dcterms:created xsi:type="dcterms:W3CDTF">2024-05-26T21:10:00Z</dcterms:created>
  <dcterms:modified xsi:type="dcterms:W3CDTF">2024-05-26T21:10:00Z</dcterms:modified>
</cp:coreProperties>
</file>